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1EE967">
      <w:pPr>
        <w:rPr>
          <w:rFonts w:hint="eastAsia" w:ascii="黑体" w:hAnsi="黑体" w:eastAsia="黑体"/>
          <w:sz w:val="32"/>
          <w:szCs w:val="32"/>
        </w:rPr>
      </w:pPr>
    </w:p>
    <w:p w14:paraId="37ECF4C7">
      <w:pPr>
        <w:jc w:val="center"/>
        <w:rPr>
          <w:rFonts w:hint="eastAsia" w:ascii="方正小标宋_GBK" w:hAnsi="宋体" w:eastAsia="方正小标宋_GBK"/>
          <w:sz w:val="44"/>
          <w:szCs w:val="44"/>
        </w:rPr>
      </w:pPr>
    </w:p>
    <w:p w14:paraId="1877406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木垒哈萨克自治县文化馆</w:t>
      </w:r>
    </w:p>
    <w:p w14:paraId="31EE552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1F46B48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768891AE">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049BCF7">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57E33A34">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33CBB1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BE1AE1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BE1125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48A110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FBB85E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80D5C7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3A02D3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2F4ADB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FB8370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9246F7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5D4491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C041D85">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4ED32F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AC8D15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5131B5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90CCFD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3B8D5E6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96AF786">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7A6974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D07A46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193B53D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40D51E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E0CC89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B790ED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E3C40B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88AFC0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6F2783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EF9FB17">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72294E6">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4B6F2A0">
      <w:r>
        <w:rPr>
          <w:rFonts w:hint="eastAsia" w:ascii="仿宋_GB2312" w:hAnsi="仿宋_GB2312" w:eastAsia="仿宋_GB2312" w:cs="仿宋_GB2312"/>
          <w:sz w:val="32"/>
          <w:szCs w:val="32"/>
        </w:rPr>
        <w:fldChar w:fldCharType="end"/>
      </w:r>
    </w:p>
    <w:p w14:paraId="0986D160">
      <w:pPr>
        <w:rPr>
          <w:rFonts w:ascii="仿宋_GB2312" w:eastAsia="仿宋_GB2312"/>
          <w:sz w:val="32"/>
          <w:szCs w:val="32"/>
        </w:rPr>
      </w:pPr>
      <w:r>
        <w:rPr>
          <w:rFonts w:hint="eastAsia" w:ascii="仿宋_GB2312" w:eastAsia="仿宋_GB2312"/>
          <w:sz w:val="32"/>
          <w:szCs w:val="32"/>
        </w:rPr>
        <w:br w:type="page"/>
      </w:r>
    </w:p>
    <w:p w14:paraId="141AFCE9">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6A65307D">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47020DF1">
      <w:pPr>
        <w:shd w:val="clear" w:color="auto" w:fill="FFFFFF"/>
        <w:autoSpaceDE w:val="0"/>
        <w:autoSpaceDN w:val="0"/>
        <w:adjustRightInd w:val="0"/>
        <w:spacing w:line="360" w:lineRule="auto"/>
        <w:ind w:firstLine="640"/>
        <w:rPr>
          <w:rFonts w:ascii="仿宋_GB2312" w:eastAsia="仿宋_GB2312" w:cs="仿宋_GB2312"/>
          <w:kern w:val="0"/>
          <w:sz w:val="32"/>
          <w:szCs w:val="32"/>
        </w:rPr>
      </w:pPr>
      <w:bookmarkStart w:id="4" w:name="_Toc31238"/>
      <w:bookmarkStart w:id="5" w:name="_Toc2151"/>
      <w:r>
        <w:rPr>
          <w:rFonts w:hint="eastAsia" w:ascii="仿宋_GB2312" w:eastAsia="仿宋_GB2312"/>
          <w:sz w:val="32"/>
          <w:szCs w:val="32"/>
        </w:rPr>
        <w:t>木垒哈萨克自治县文化馆</w:t>
      </w:r>
      <w:r>
        <w:rPr>
          <w:rFonts w:hint="eastAsia" w:ascii="仿宋_GB2312" w:eastAsia="仿宋_GB2312" w:cs="仿宋_GB2312"/>
          <w:kern w:val="0"/>
          <w:sz w:val="32"/>
          <w:szCs w:val="32"/>
        </w:rPr>
        <w:t>作为国家设立的公益一类正股级文化服务机构，承担群众文化宣传、业余文艺创作，文艺活动组织；承担群众文艺理论研究与文化交流，大众科普资料编辑；承担民族民间文化艺术遗产收集整理与保护；承担非物质文化遗产保护研究、挖掘、展示、收藏、保护和开发利用。</w:t>
      </w:r>
    </w:p>
    <w:p w14:paraId="34DDAAEC">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6F2E771">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木垒哈萨克自治县文化馆2023年度，实有人数</w:t>
      </w:r>
      <w:r>
        <w:rPr>
          <w:rFonts w:hint="eastAsia" w:ascii="仿宋_GB2312" w:eastAsia="仿宋_GB2312"/>
          <w:sz w:val="32"/>
          <w:szCs w:val="32"/>
          <w:lang w:val="zh-CN"/>
        </w:rPr>
        <w:t>15</w:t>
      </w:r>
      <w:r>
        <w:rPr>
          <w:rFonts w:hint="eastAsia" w:ascii="仿宋_GB2312" w:eastAsia="仿宋_GB2312"/>
          <w:sz w:val="32"/>
          <w:szCs w:val="32"/>
        </w:rPr>
        <w:t>人，其中：在职人员</w:t>
      </w:r>
      <w:r>
        <w:rPr>
          <w:rFonts w:hint="eastAsia" w:ascii="仿宋_GB2312" w:eastAsia="仿宋_GB2312"/>
          <w:sz w:val="32"/>
          <w:szCs w:val="32"/>
          <w:lang w:val="zh-CN"/>
        </w:rPr>
        <w:t>11</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w:t>
      </w:r>
      <w:r>
        <w:rPr>
          <w:rFonts w:hint="eastAsia" w:ascii="仿宋_GB2312" w:eastAsia="仿宋_GB2312"/>
          <w:sz w:val="32"/>
          <w:szCs w:val="32"/>
        </w:rPr>
        <w:t>人。</w:t>
      </w:r>
    </w:p>
    <w:p w14:paraId="40D83839">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w:t>
      </w:r>
      <w:r>
        <w:rPr>
          <w:rFonts w:hint="eastAsia" w:ascii="仿宋_GB2312" w:hAnsi="仿宋_GB2312" w:eastAsia="仿宋_GB2312" w:cs="仿宋_GB2312"/>
          <w:bCs/>
          <w:kern w:val="0"/>
          <w:sz w:val="32"/>
          <w:szCs w:val="32"/>
        </w:rPr>
        <w:t>下设</w:t>
      </w:r>
      <w:r>
        <w:rPr>
          <w:rFonts w:hint="eastAsia" w:ascii="仿宋_GB2312" w:hAnsi="仿宋_GB2312" w:eastAsia="仿宋_GB2312" w:cs="仿宋_GB2312"/>
          <w:sz w:val="32"/>
          <w:szCs w:val="32"/>
        </w:rPr>
        <w:t>4</w:t>
      </w:r>
      <w:r>
        <w:rPr>
          <w:rFonts w:hint="eastAsia" w:ascii="仿宋_GB2312" w:hAnsi="仿宋_GB2312" w:eastAsia="仿宋_GB2312" w:cs="仿宋_GB2312"/>
          <w:bCs/>
          <w:kern w:val="0"/>
          <w:sz w:val="32"/>
          <w:szCs w:val="32"/>
        </w:rPr>
        <w:t>个处室，分别是：</w:t>
      </w:r>
      <w:r>
        <w:rPr>
          <w:rFonts w:hint="eastAsia" w:ascii="仿宋_GB2312" w:eastAsia="仿宋_GB2312"/>
          <w:kern w:val="0"/>
          <w:sz w:val="32"/>
        </w:rPr>
        <w:t>行政办公室、文艺办公室、免费开放办公室、非物质文化遗产办公室</w:t>
      </w:r>
      <w:r>
        <w:rPr>
          <w:rFonts w:hint="eastAsia" w:ascii="仿宋_GB2312" w:hAnsi="仿宋_GB2312" w:eastAsia="仿宋_GB2312" w:cs="仿宋_GB2312"/>
          <w:kern w:val="0"/>
          <w:sz w:val="32"/>
          <w:szCs w:val="32"/>
        </w:rPr>
        <w:t>。</w:t>
      </w:r>
    </w:p>
    <w:p w14:paraId="31F8EEC1">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35EC2267">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3EF09D6A">
      <w:pPr>
        <w:ind w:firstLine="640" w:firstLineChars="200"/>
        <w:jc w:val="left"/>
        <w:rPr>
          <w:rFonts w:ascii="仿宋_GB2312" w:eastAsia="仿宋_GB2312"/>
          <w:sz w:val="32"/>
          <w:szCs w:val="32"/>
        </w:rPr>
      </w:pPr>
      <w:r>
        <w:rPr>
          <w:rFonts w:hint="eastAsia" w:ascii="仿宋_GB2312" w:eastAsia="仿宋_GB2312"/>
          <w:sz w:val="32"/>
          <w:szCs w:val="32"/>
        </w:rPr>
        <w:t>2023年度收入总计314.08万元，其中：本年收入合计314.08万元，使用非财政拨款结余0.00万元，年初结转和结余0.00万元。</w:t>
      </w:r>
    </w:p>
    <w:p w14:paraId="2FD3B6BD">
      <w:pPr>
        <w:ind w:firstLine="640" w:firstLineChars="200"/>
        <w:jc w:val="left"/>
        <w:rPr>
          <w:rFonts w:ascii="仿宋_GB2312" w:eastAsia="仿宋_GB2312"/>
          <w:sz w:val="32"/>
          <w:szCs w:val="32"/>
        </w:rPr>
      </w:pPr>
      <w:r>
        <w:rPr>
          <w:rFonts w:hint="eastAsia" w:ascii="仿宋_GB2312" w:eastAsia="仿宋_GB2312"/>
          <w:sz w:val="32"/>
          <w:szCs w:val="32"/>
        </w:rPr>
        <w:t>2023年度支出总计314.08万元，其中：本年支出合计314.08万元，结余分配0.00万元，年末结转和结余0.00万元。</w:t>
      </w:r>
    </w:p>
    <w:p w14:paraId="68163238">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增加50.58万元</w:t>
      </w:r>
      <w:r>
        <w:rPr>
          <w:rFonts w:hint="eastAsia" w:ascii="仿宋_GB2312" w:eastAsia="仿宋_GB2312"/>
          <w:sz w:val="32"/>
          <w:szCs w:val="32"/>
        </w:rPr>
        <w:t>，增长19.20%，主要原因是：单位本年</w:t>
      </w:r>
      <w:r>
        <w:rPr>
          <w:rFonts w:hint="eastAsia" w:ascii="仿宋_GB2312" w:eastAsia="仿宋_GB2312" w:cs="仿宋_GB2312"/>
          <w:sz w:val="32"/>
          <w:szCs w:val="32"/>
        </w:rPr>
        <w:t>文化创作与保护项目经费增加</w:t>
      </w:r>
      <w:r>
        <w:rPr>
          <w:rFonts w:hint="eastAsia" w:ascii="仿宋_GB2312" w:eastAsia="仿宋_GB2312" w:cs="仿宋_GB2312"/>
          <w:sz w:val="32"/>
          <w:szCs w:val="32"/>
          <w:lang w:eastAsia="zh-CN"/>
        </w:rPr>
        <w:t>，</w:t>
      </w:r>
      <w:r>
        <w:rPr>
          <w:rFonts w:hint="eastAsia" w:ascii="仿宋_GB2312" w:eastAsia="仿宋_GB2312"/>
          <w:sz w:val="32"/>
          <w:szCs w:val="32"/>
        </w:rPr>
        <w:t>文化活动日常办公运行经费、邮电费增加。</w:t>
      </w:r>
    </w:p>
    <w:p w14:paraId="36918C13">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08B786C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本年收入314.08万元，其中：财政拨款收入310.60万元，占98.89%；上级补助收入0.00万元，占0.00%；事业收入0.00万元，占0.00%；经营收入0.00万元，占0.00%；附属单位上缴收入0.00万元，占0.00%；其他收入3.48万元，占1.11%。</w:t>
      </w:r>
    </w:p>
    <w:p w14:paraId="03BB2E68">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EF00DA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本年支出314.08万元，其中：基本支出314.08万元，占100.00%；项目支出0.00万元，占0.00%；上缴上级支出0.00万元，占0.00%；经营支出0.00万元，占0.00%；对附属单位补助支出0.00万元，占0.00%。</w:t>
      </w:r>
    </w:p>
    <w:p w14:paraId="1A483FD2">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60C51CB3">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310.60</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310.60</w:t>
      </w:r>
      <w:r>
        <w:rPr>
          <w:rFonts w:hint="eastAsia" w:ascii="仿宋_GB2312" w:eastAsia="仿宋_GB2312"/>
          <w:sz w:val="32"/>
          <w:szCs w:val="32"/>
        </w:rPr>
        <w:t>万元。财政拨款支出总计</w:t>
      </w:r>
      <w:r>
        <w:rPr>
          <w:rFonts w:hint="eastAsia" w:ascii="仿宋_GB2312" w:eastAsia="仿宋_GB2312"/>
          <w:sz w:val="32"/>
          <w:szCs w:val="32"/>
          <w:lang w:val="zh-CN"/>
        </w:rPr>
        <w:t>310.60</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310.60</w:t>
      </w:r>
      <w:r>
        <w:rPr>
          <w:rFonts w:hint="eastAsia" w:ascii="仿宋_GB2312" w:eastAsia="仿宋_GB2312"/>
          <w:sz w:val="32"/>
          <w:szCs w:val="32"/>
        </w:rPr>
        <w:t>万元。</w:t>
      </w:r>
    </w:p>
    <w:p w14:paraId="04EAEED3">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增加47.10万元</w:t>
      </w:r>
      <w:r>
        <w:rPr>
          <w:rFonts w:hint="eastAsia" w:ascii="仿宋_GB2312" w:eastAsia="仿宋_GB2312"/>
          <w:sz w:val="32"/>
          <w:szCs w:val="32"/>
        </w:rPr>
        <w:t>，增长17.87%,主要原因是：单位本年</w:t>
      </w:r>
      <w:r>
        <w:rPr>
          <w:rFonts w:hint="eastAsia" w:ascii="仿宋_GB2312" w:eastAsia="仿宋_GB2312" w:cs="仿宋_GB2312"/>
          <w:sz w:val="32"/>
          <w:szCs w:val="32"/>
        </w:rPr>
        <w:t>文化创作与保护项目经费增加</w:t>
      </w:r>
      <w:r>
        <w:rPr>
          <w:rFonts w:hint="eastAsia" w:ascii="仿宋_GB2312" w:eastAsia="仿宋_GB2312" w:cs="仿宋_GB2312"/>
          <w:sz w:val="32"/>
          <w:szCs w:val="32"/>
          <w:lang w:eastAsia="zh-CN"/>
        </w:rPr>
        <w:t>，</w:t>
      </w:r>
      <w:r>
        <w:rPr>
          <w:rFonts w:hint="eastAsia" w:ascii="仿宋_GB2312" w:eastAsia="仿宋_GB2312"/>
          <w:sz w:val="32"/>
          <w:szCs w:val="32"/>
        </w:rPr>
        <w:t>文化活动日常办公运行经费、邮电费增加。与年初预算相比，年初预算数</w:t>
      </w:r>
      <w:r>
        <w:rPr>
          <w:rFonts w:hint="eastAsia" w:ascii="仿宋_GB2312" w:eastAsia="仿宋_GB2312"/>
          <w:sz w:val="32"/>
          <w:szCs w:val="32"/>
          <w:lang w:val="zh-CN"/>
        </w:rPr>
        <w:t>219.72</w:t>
      </w:r>
      <w:r>
        <w:rPr>
          <w:rFonts w:hint="eastAsia" w:ascii="仿宋_GB2312" w:eastAsia="仿宋_GB2312"/>
          <w:sz w:val="32"/>
          <w:szCs w:val="32"/>
        </w:rPr>
        <w:t>万元，决算数</w:t>
      </w:r>
      <w:r>
        <w:rPr>
          <w:rFonts w:hint="eastAsia" w:ascii="仿宋_GB2312" w:eastAsia="仿宋_GB2312"/>
          <w:sz w:val="32"/>
          <w:szCs w:val="32"/>
          <w:lang w:val="zh-CN"/>
        </w:rPr>
        <w:t>310.60</w:t>
      </w:r>
      <w:r>
        <w:rPr>
          <w:rFonts w:hint="eastAsia" w:ascii="仿宋_GB2312" w:eastAsia="仿宋_GB2312"/>
          <w:sz w:val="32"/>
          <w:szCs w:val="32"/>
        </w:rPr>
        <w:t>万元，预决算差异率41.36%，主要原因是：年中追加</w:t>
      </w:r>
      <w:r>
        <w:rPr>
          <w:rFonts w:hint="eastAsia" w:ascii="仿宋_GB2312" w:eastAsia="仿宋_GB2312" w:cs="仿宋_GB2312"/>
          <w:sz w:val="32"/>
          <w:szCs w:val="32"/>
        </w:rPr>
        <w:t>文化创作与保护项目经费</w:t>
      </w:r>
      <w:r>
        <w:rPr>
          <w:rFonts w:hint="eastAsia" w:ascii="仿宋_GB2312" w:eastAsia="仿宋_GB2312" w:cs="仿宋_GB2312"/>
          <w:sz w:val="32"/>
          <w:szCs w:val="32"/>
          <w:lang w:eastAsia="zh-CN"/>
        </w:rPr>
        <w:t>；</w:t>
      </w:r>
      <w:r>
        <w:rPr>
          <w:rFonts w:hint="eastAsia" w:ascii="仿宋_GB2312" w:eastAsia="仿宋_GB2312"/>
          <w:sz w:val="32"/>
          <w:szCs w:val="32"/>
        </w:rPr>
        <w:t>单位本年人员增加，</w:t>
      </w:r>
      <w:r>
        <w:rPr>
          <w:rFonts w:hint="eastAsia" w:ascii="仿宋_GB2312" w:eastAsia="仿宋_GB2312"/>
          <w:sz w:val="32"/>
          <w:szCs w:val="32"/>
          <w:lang w:val="en-US" w:eastAsia="zh-CN"/>
        </w:rPr>
        <w:t>年中追加</w:t>
      </w:r>
      <w:r>
        <w:rPr>
          <w:rFonts w:hint="eastAsia" w:ascii="仿宋_GB2312" w:eastAsia="仿宋_GB2312"/>
          <w:sz w:val="32"/>
          <w:szCs w:val="32"/>
        </w:rPr>
        <w:t>工资、津贴补贴、奖金</w:t>
      </w:r>
      <w:r>
        <w:rPr>
          <w:rFonts w:hint="eastAsia" w:ascii="仿宋_GB2312" w:eastAsia="仿宋_GB2312"/>
          <w:sz w:val="32"/>
          <w:szCs w:val="32"/>
          <w:lang w:val="en-US" w:eastAsia="zh-CN"/>
        </w:rPr>
        <w:t>等相关人员经费</w:t>
      </w:r>
      <w:r>
        <w:rPr>
          <w:rFonts w:hint="eastAsia" w:ascii="仿宋_GB2312" w:eastAsia="仿宋_GB2312"/>
          <w:sz w:val="32"/>
          <w:szCs w:val="32"/>
        </w:rPr>
        <w:t>。</w:t>
      </w:r>
    </w:p>
    <w:p w14:paraId="43D8C86E">
      <w:pPr>
        <w:ind w:firstLine="960" w:firstLineChars="3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6E8DEB2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582B358">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2023年度一般公共预算财政拨款支出310.60万元，占本年支出合计的</w:t>
      </w:r>
      <w:r>
        <w:rPr>
          <w:rFonts w:hint="eastAsia" w:ascii="仿宋_GB2312" w:eastAsia="仿宋_GB2312"/>
          <w:sz w:val="32"/>
          <w:szCs w:val="32"/>
          <w:lang w:val="zh-CN"/>
        </w:rPr>
        <w:t>98.89%</w:t>
      </w:r>
      <w:r>
        <w:rPr>
          <w:rFonts w:hint="eastAsia" w:ascii="仿宋_GB2312" w:eastAsia="仿宋_GB2312"/>
          <w:sz w:val="32"/>
          <w:szCs w:val="32"/>
        </w:rPr>
        <w:t>。与上年相比，</w:t>
      </w:r>
      <w:r>
        <w:rPr>
          <w:rFonts w:hint="eastAsia" w:ascii="仿宋_GB2312" w:eastAsia="仿宋_GB2312"/>
          <w:sz w:val="32"/>
          <w:szCs w:val="32"/>
          <w:lang w:val="zh-CN"/>
        </w:rPr>
        <w:t>增加47.10万元</w:t>
      </w:r>
      <w:r>
        <w:rPr>
          <w:rFonts w:hint="eastAsia" w:ascii="仿宋_GB2312" w:eastAsia="仿宋_GB2312"/>
          <w:sz w:val="32"/>
          <w:szCs w:val="32"/>
        </w:rPr>
        <w:t>，增长17.87%,主要原因是：单位本年</w:t>
      </w:r>
      <w:r>
        <w:rPr>
          <w:rFonts w:hint="eastAsia" w:ascii="仿宋_GB2312" w:eastAsia="仿宋_GB2312" w:cs="仿宋_GB2312"/>
          <w:sz w:val="32"/>
          <w:szCs w:val="32"/>
        </w:rPr>
        <w:t>文化创作与保护项目经费增加</w:t>
      </w:r>
      <w:r>
        <w:rPr>
          <w:rFonts w:hint="eastAsia" w:ascii="仿宋_GB2312" w:eastAsia="仿宋_GB2312" w:cs="仿宋_GB2312"/>
          <w:sz w:val="32"/>
          <w:szCs w:val="32"/>
          <w:lang w:eastAsia="zh-CN"/>
        </w:rPr>
        <w:t>，</w:t>
      </w:r>
      <w:r>
        <w:rPr>
          <w:rFonts w:hint="eastAsia" w:ascii="仿宋_GB2312" w:eastAsia="仿宋_GB2312"/>
          <w:sz w:val="32"/>
          <w:szCs w:val="32"/>
        </w:rPr>
        <w:t>文化活动日常办公运行经费、邮电费增加。与年初预算相比，年初预算数</w:t>
      </w:r>
      <w:r>
        <w:rPr>
          <w:rFonts w:hint="eastAsia" w:ascii="仿宋_GB2312" w:eastAsia="仿宋_GB2312"/>
          <w:sz w:val="32"/>
          <w:szCs w:val="32"/>
          <w:lang w:val="zh-CN"/>
        </w:rPr>
        <w:t>219.72</w:t>
      </w:r>
      <w:r>
        <w:rPr>
          <w:rFonts w:hint="eastAsia" w:ascii="仿宋_GB2312" w:eastAsia="仿宋_GB2312"/>
          <w:sz w:val="32"/>
          <w:szCs w:val="32"/>
        </w:rPr>
        <w:t>万元，决算数</w:t>
      </w:r>
      <w:r>
        <w:rPr>
          <w:rFonts w:hint="eastAsia" w:ascii="仿宋_GB2312" w:eastAsia="仿宋_GB2312"/>
          <w:sz w:val="32"/>
          <w:szCs w:val="32"/>
          <w:lang w:val="zh-CN"/>
        </w:rPr>
        <w:t>310.60</w:t>
      </w:r>
      <w:r>
        <w:rPr>
          <w:rFonts w:hint="eastAsia" w:ascii="仿宋_GB2312" w:eastAsia="仿宋_GB2312"/>
          <w:sz w:val="32"/>
          <w:szCs w:val="32"/>
        </w:rPr>
        <w:t>万元，预决算差异率</w:t>
      </w:r>
      <w:r>
        <w:rPr>
          <w:rFonts w:hint="eastAsia" w:ascii="仿宋_GB2312" w:eastAsia="仿宋_GB2312"/>
          <w:sz w:val="32"/>
          <w:szCs w:val="32"/>
          <w:lang w:val="zh-CN"/>
        </w:rPr>
        <w:t>41.36%</w:t>
      </w:r>
      <w:r>
        <w:rPr>
          <w:rFonts w:hint="eastAsia" w:ascii="仿宋_GB2312" w:eastAsia="仿宋_GB2312"/>
          <w:sz w:val="32"/>
          <w:szCs w:val="32"/>
        </w:rPr>
        <w:t>，主要原因是：年中追加</w:t>
      </w:r>
      <w:r>
        <w:rPr>
          <w:rFonts w:hint="eastAsia" w:ascii="仿宋_GB2312" w:eastAsia="仿宋_GB2312" w:cs="仿宋_GB2312"/>
          <w:sz w:val="32"/>
          <w:szCs w:val="32"/>
        </w:rPr>
        <w:t>文化创作与保护项目经费</w:t>
      </w:r>
      <w:r>
        <w:rPr>
          <w:rFonts w:hint="eastAsia" w:ascii="仿宋_GB2312" w:eastAsia="仿宋_GB2312" w:cs="仿宋_GB2312"/>
          <w:sz w:val="32"/>
          <w:szCs w:val="32"/>
          <w:lang w:eastAsia="zh-CN"/>
        </w:rPr>
        <w:t>；</w:t>
      </w:r>
      <w:r>
        <w:rPr>
          <w:rFonts w:hint="eastAsia" w:ascii="仿宋_GB2312" w:eastAsia="仿宋_GB2312"/>
          <w:sz w:val="32"/>
          <w:szCs w:val="32"/>
        </w:rPr>
        <w:t>单位本年人员增加，</w:t>
      </w:r>
      <w:r>
        <w:rPr>
          <w:rFonts w:hint="eastAsia" w:ascii="仿宋_GB2312" w:eastAsia="仿宋_GB2312"/>
          <w:sz w:val="32"/>
          <w:szCs w:val="32"/>
          <w:lang w:val="en-US" w:eastAsia="zh-CN"/>
        </w:rPr>
        <w:t>年中追加</w:t>
      </w:r>
      <w:r>
        <w:rPr>
          <w:rFonts w:hint="eastAsia" w:ascii="仿宋_GB2312" w:eastAsia="仿宋_GB2312"/>
          <w:sz w:val="32"/>
          <w:szCs w:val="32"/>
        </w:rPr>
        <w:t>工资、津贴补贴、奖金</w:t>
      </w:r>
      <w:r>
        <w:rPr>
          <w:rFonts w:hint="eastAsia" w:ascii="仿宋_GB2312" w:eastAsia="仿宋_GB2312"/>
          <w:sz w:val="32"/>
          <w:szCs w:val="32"/>
          <w:lang w:val="en-US" w:eastAsia="zh-CN"/>
        </w:rPr>
        <w:t>等相关人员经费</w:t>
      </w:r>
      <w:r>
        <w:rPr>
          <w:rFonts w:hint="eastAsia" w:ascii="仿宋_GB2312" w:eastAsia="仿宋_GB2312"/>
          <w:sz w:val="32"/>
          <w:szCs w:val="32"/>
        </w:rPr>
        <w:t>。</w:t>
      </w:r>
    </w:p>
    <w:p w14:paraId="12272D22">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3FB35F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285.17</w:t>
      </w:r>
      <w:r>
        <w:rPr>
          <w:rFonts w:ascii="仿宋_GB2312" w:eastAsia="仿宋_GB2312"/>
          <w:kern w:val="2"/>
          <w:sz w:val="32"/>
          <w:szCs w:val="32"/>
          <w:lang w:val="zh-CN"/>
        </w:rPr>
        <w:t>万元，占</w:t>
      </w:r>
      <w:r>
        <w:rPr>
          <w:rFonts w:hint="eastAsia" w:ascii="仿宋_GB2312" w:eastAsia="仿宋_GB2312"/>
          <w:kern w:val="2"/>
          <w:sz w:val="32"/>
          <w:szCs w:val="32"/>
          <w:lang w:val="zh-CN"/>
        </w:rPr>
        <w:t>91.81</w:t>
      </w:r>
      <w:r>
        <w:rPr>
          <w:rFonts w:ascii="仿宋_GB2312" w:eastAsia="仿宋_GB2312"/>
          <w:kern w:val="2"/>
          <w:sz w:val="32"/>
          <w:szCs w:val="32"/>
          <w:lang w:val="zh-CN"/>
        </w:rPr>
        <w:t>%；</w:t>
      </w:r>
    </w:p>
    <w:p w14:paraId="5752ED1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25.43</w:t>
      </w:r>
      <w:r>
        <w:rPr>
          <w:rFonts w:ascii="仿宋_GB2312" w:eastAsia="仿宋_GB2312"/>
          <w:kern w:val="2"/>
          <w:sz w:val="32"/>
          <w:szCs w:val="32"/>
          <w:lang w:val="zh-CN"/>
        </w:rPr>
        <w:t>万元，占</w:t>
      </w:r>
      <w:r>
        <w:rPr>
          <w:rFonts w:hint="eastAsia" w:ascii="仿宋_GB2312" w:eastAsia="仿宋_GB2312"/>
          <w:kern w:val="2"/>
          <w:sz w:val="32"/>
          <w:szCs w:val="32"/>
          <w:lang w:val="zh-CN"/>
        </w:rPr>
        <w:t>8.19</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235DB44A">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CDA522C">
      <w:pPr>
        <w:ind w:firstLine="640" w:firstLineChars="200"/>
        <w:jc w:val="left"/>
        <w:rPr>
          <w:rFonts w:ascii="仿宋_GB2312" w:eastAsia="仿宋_GB2312"/>
          <w:sz w:val="32"/>
          <w:szCs w:val="32"/>
          <w:lang w:val="zh-CN"/>
        </w:rPr>
      </w:pPr>
      <w:r>
        <w:rPr>
          <w:rFonts w:hint="eastAsia" w:ascii="仿宋_GB2312" w:eastAsia="仿宋_GB2312"/>
          <w:sz w:val="32"/>
          <w:szCs w:val="32"/>
        </w:rPr>
        <w:t>1.文化旅游体育与传媒支出（类）文化和旅游（款）文化创作与保护（项）:支出决算数为35.00万元，比上年决算增加34.33万元，增长5,123.88%，主要原因是：单位本年</w:t>
      </w:r>
      <w:r>
        <w:rPr>
          <w:rFonts w:hint="eastAsia" w:ascii="仿宋_GB2312" w:eastAsia="仿宋_GB2312" w:cs="仿宋_GB2312"/>
          <w:sz w:val="32"/>
          <w:szCs w:val="32"/>
        </w:rPr>
        <w:t>文化创作与保护项目经费增加</w:t>
      </w:r>
      <w:r>
        <w:rPr>
          <w:rFonts w:hint="eastAsia" w:ascii="仿宋_GB2312" w:eastAsia="仿宋_GB2312"/>
          <w:sz w:val="32"/>
          <w:szCs w:val="32"/>
          <w:lang w:val="zh-CN"/>
        </w:rPr>
        <w:t>。</w:t>
      </w:r>
    </w:p>
    <w:p w14:paraId="3E8F5347">
      <w:pPr>
        <w:ind w:firstLine="640" w:firstLineChars="200"/>
        <w:jc w:val="left"/>
        <w:rPr>
          <w:rFonts w:ascii="仿宋_GB2312" w:eastAsia="仿宋_GB2312"/>
          <w:sz w:val="32"/>
          <w:szCs w:val="32"/>
          <w:lang w:val="zh-CN"/>
        </w:rPr>
      </w:pPr>
      <w:r>
        <w:rPr>
          <w:rFonts w:hint="eastAsia" w:ascii="仿宋_GB2312" w:eastAsia="仿宋_GB2312"/>
          <w:sz w:val="32"/>
          <w:szCs w:val="32"/>
        </w:rPr>
        <w:t>2.文化旅游体育与传媒支出（类）文化和旅游（款）其他文化和旅游支出（项）:支出决算数为19.65万元，比上年决算增加19.65万元，增长100%，主要原因是：单位本年文化活动日常办公运行经费、邮电费增加</w:t>
      </w:r>
      <w:r>
        <w:rPr>
          <w:rFonts w:hint="eastAsia" w:ascii="仿宋_GB2312" w:eastAsia="仿宋_GB2312"/>
          <w:sz w:val="32"/>
          <w:szCs w:val="32"/>
          <w:lang w:val="zh-CN"/>
        </w:rPr>
        <w:t>。</w:t>
      </w:r>
    </w:p>
    <w:p w14:paraId="1B7A96D9">
      <w:pPr>
        <w:ind w:firstLine="640" w:firstLineChars="200"/>
        <w:jc w:val="left"/>
        <w:rPr>
          <w:rFonts w:ascii="仿宋_GB2312" w:eastAsia="仿宋_GB2312"/>
          <w:sz w:val="32"/>
          <w:szCs w:val="32"/>
          <w:lang w:val="zh-CN"/>
        </w:rPr>
      </w:pPr>
      <w:r>
        <w:rPr>
          <w:rFonts w:hint="eastAsia" w:ascii="仿宋_GB2312" w:eastAsia="仿宋_GB2312"/>
          <w:sz w:val="32"/>
          <w:szCs w:val="32"/>
        </w:rPr>
        <w:t>3.社会保障和就业支出（类）抚恤（款）死亡抚恤（项）:支出决算数为16.57万元，比上年决算增加3.72万元，增长28.95%，主要原因是：单位本年人员丧葬费、抚恤金补助较上年增加</w:t>
      </w:r>
      <w:r>
        <w:rPr>
          <w:rFonts w:hint="eastAsia" w:ascii="仿宋_GB2312" w:eastAsia="仿宋_GB2312"/>
          <w:sz w:val="32"/>
          <w:szCs w:val="32"/>
          <w:lang w:val="zh-CN"/>
        </w:rPr>
        <w:t>。</w:t>
      </w:r>
    </w:p>
    <w:p w14:paraId="48F9C452">
      <w:pPr>
        <w:autoSpaceDE w:val="0"/>
        <w:autoSpaceDN w:val="0"/>
        <w:adjustRightInd w:val="0"/>
        <w:spacing w:line="600" w:lineRule="exact"/>
        <w:ind w:firstLine="640"/>
        <w:rPr>
          <w:rFonts w:ascii="仿宋_GB2312" w:eastAsia="仿宋_GB2312"/>
          <w:sz w:val="32"/>
          <w:szCs w:val="32"/>
          <w:lang w:val="zh-CN"/>
        </w:rPr>
      </w:pPr>
      <w:r>
        <w:rPr>
          <w:rFonts w:hint="eastAsia" w:ascii="仿宋_GB2312" w:eastAsia="仿宋_GB2312"/>
          <w:sz w:val="32"/>
          <w:szCs w:val="32"/>
        </w:rPr>
        <w:t>4.社会保障和就业支出（类）行政事业单位养老支出（款）事业单位离退休（项）:支出决算数为0.99万元，比上年决算增加0.64万元，增长182.86%，主要原因是：</w:t>
      </w:r>
      <w:r>
        <w:rPr>
          <w:rFonts w:hint="eastAsia" w:ascii="仿宋_GB2312" w:eastAsia="仿宋_GB2312"/>
          <w:sz w:val="32"/>
        </w:rPr>
        <w:t>本年退休人员增加，退休人员取暖费、交通补助费用增加</w:t>
      </w:r>
      <w:r>
        <w:rPr>
          <w:rFonts w:hint="eastAsia" w:ascii="仿宋_GB2312" w:eastAsia="仿宋_GB2312"/>
          <w:sz w:val="32"/>
          <w:szCs w:val="32"/>
          <w:lang w:val="zh-CN"/>
        </w:rPr>
        <w:t>。</w:t>
      </w:r>
    </w:p>
    <w:p w14:paraId="30ED4E30">
      <w:pPr>
        <w:ind w:firstLine="640" w:firstLineChars="200"/>
        <w:jc w:val="left"/>
        <w:rPr>
          <w:rFonts w:ascii="仿宋_GB2312" w:eastAsia="仿宋_GB2312"/>
          <w:sz w:val="32"/>
          <w:szCs w:val="32"/>
          <w:lang w:val="zh-CN"/>
        </w:rPr>
      </w:pPr>
      <w:r>
        <w:rPr>
          <w:rFonts w:hint="eastAsia" w:ascii="仿宋_GB2312" w:eastAsia="仿宋_GB2312"/>
          <w:sz w:val="32"/>
          <w:szCs w:val="32"/>
        </w:rPr>
        <w:t>5.文化旅游体育与传媒支出（类）其他文化旅游体育与传媒支出（款）其他文化旅游体育与传媒支出（项）:支出决算数为41.00万元，比上年决算减少9.71万元，下降19.15%，主要原因是：</w:t>
      </w:r>
      <w:r>
        <w:rPr>
          <w:rFonts w:hint="eastAsia" w:ascii="仿宋_GB2312" w:eastAsia="仿宋_GB2312"/>
          <w:sz w:val="32"/>
        </w:rPr>
        <w:t>单位本年非物质文化遗产保护</w:t>
      </w:r>
      <w:r>
        <w:rPr>
          <w:rFonts w:hint="eastAsia" w:ascii="仿宋_GB2312" w:eastAsia="仿宋_GB2312"/>
          <w:sz w:val="32"/>
          <w:lang w:val="en-US" w:eastAsia="zh-CN"/>
        </w:rPr>
        <w:t>项目</w:t>
      </w:r>
      <w:r>
        <w:rPr>
          <w:rFonts w:hint="eastAsia" w:ascii="仿宋_GB2312" w:eastAsia="仿宋_GB2312"/>
          <w:sz w:val="32"/>
        </w:rPr>
        <w:t>资金减少</w:t>
      </w:r>
      <w:r>
        <w:rPr>
          <w:rFonts w:hint="eastAsia" w:ascii="仿宋_GB2312" w:eastAsia="仿宋_GB2312"/>
          <w:sz w:val="32"/>
          <w:szCs w:val="32"/>
          <w:lang w:val="zh-CN"/>
        </w:rPr>
        <w:t>。</w:t>
      </w:r>
    </w:p>
    <w:p w14:paraId="1ADD5D75">
      <w:pPr>
        <w:ind w:firstLine="640" w:firstLineChars="200"/>
        <w:jc w:val="left"/>
        <w:rPr>
          <w:rFonts w:ascii="仿宋_GB2312" w:eastAsia="仿宋_GB2312"/>
          <w:sz w:val="32"/>
          <w:szCs w:val="32"/>
          <w:lang w:val="zh-CN"/>
        </w:rPr>
      </w:pPr>
      <w:r>
        <w:rPr>
          <w:rFonts w:hint="eastAsia" w:ascii="仿宋_GB2312" w:eastAsia="仿宋_GB2312"/>
          <w:sz w:val="32"/>
          <w:szCs w:val="32"/>
        </w:rPr>
        <w:t>6.文化旅游体育与传媒支出（类）文化和旅游（款）群众文化（项）:支出决算数为189.52万元，比上年决算增加32.70万元，增长20.85%，主要原因是：单位本年人员增加，人员工资、津贴补贴、奖金增加</w:t>
      </w:r>
      <w:r>
        <w:rPr>
          <w:rFonts w:hint="eastAsia" w:ascii="仿宋_GB2312" w:eastAsia="仿宋_GB2312"/>
          <w:sz w:val="32"/>
          <w:szCs w:val="32"/>
          <w:lang w:val="zh-CN"/>
        </w:rPr>
        <w:t>。</w:t>
      </w:r>
    </w:p>
    <w:p w14:paraId="39571910">
      <w:pPr>
        <w:ind w:firstLine="640" w:firstLineChars="200"/>
        <w:jc w:val="left"/>
        <w:rPr>
          <w:rFonts w:ascii="仿宋_GB2312" w:eastAsia="仿宋_GB2312"/>
          <w:sz w:val="32"/>
          <w:szCs w:val="32"/>
          <w:lang w:val="zh-CN"/>
        </w:rPr>
      </w:pPr>
      <w:r>
        <w:rPr>
          <w:rFonts w:hint="eastAsia" w:ascii="仿宋_GB2312" w:eastAsia="仿宋_GB2312"/>
          <w:sz w:val="32"/>
          <w:szCs w:val="32"/>
        </w:rPr>
        <w:t>7.社会保障和就业支出</w:t>
      </w:r>
      <w:bookmarkStart w:id="48" w:name="_GoBack"/>
      <w:bookmarkEnd w:id="48"/>
      <w:r>
        <w:rPr>
          <w:rFonts w:hint="eastAsia" w:ascii="仿宋_GB2312" w:eastAsia="仿宋_GB2312"/>
          <w:sz w:val="32"/>
          <w:szCs w:val="32"/>
        </w:rPr>
        <w:t>（类）行政事业单位养老支出（款）机关事业单位职业年金缴费支出（项）:支出决算数为7.87万元，比上年决算减少1.46万元，下降15.65%，主要原因是：</w:t>
      </w:r>
      <w:r>
        <w:rPr>
          <w:rFonts w:hint="eastAsia" w:ascii="仿宋_GB2312" w:eastAsia="仿宋_GB2312"/>
          <w:sz w:val="32"/>
        </w:rPr>
        <w:t>单位本年</w:t>
      </w:r>
      <w:r>
        <w:rPr>
          <w:rFonts w:hint="eastAsia" w:ascii="仿宋_GB2312" w:eastAsia="仿宋_GB2312"/>
          <w:sz w:val="32"/>
          <w:lang w:val="en-US" w:eastAsia="zh-CN"/>
        </w:rPr>
        <w:t>退休人员一次性</w:t>
      </w:r>
      <w:r>
        <w:rPr>
          <w:rFonts w:hint="eastAsia" w:ascii="仿宋_GB2312" w:eastAsia="仿宋_GB2312"/>
          <w:sz w:val="32"/>
        </w:rPr>
        <w:t>职业年金缴费减少</w:t>
      </w:r>
      <w:r>
        <w:rPr>
          <w:rFonts w:hint="eastAsia" w:ascii="仿宋_GB2312" w:eastAsia="仿宋_GB2312"/>
          <w:sz w:val="32"/>
          <w:szCs w:val="32"/>
          <w:lang w:val="zh-CN"/>
        </w:rPr>
        <w:t>。</w:t>
      </w:r>
    </w:p>
    <w:p w14:paraId="5D694032">
      <w:pPr>
        <w:ind w:firstLine="640" w:firstLineChars="200"/>
        <w:jc w:val="left"/>
        <w:rPr>
          <w:rFonts w:ascii="仿宋_GB2312" w:eastAsia="仿宋_GB2312"/>
          <w:sz w:val="32"/>
          <w:szCs w:val="32"/>
          <w:lang w:val="zh-CN"/>
        </w:rPr>
      </w:pPr>
      <w:r>
        <w:rPr>
          <w:rFonts w:hint="eastAsia" w:ascii="仿宋_GB2312" w:eastAsia="仿宋_GB2312"/>
          <w:sz w:val="32"/>
          <w:szCs w:val="32"/>
        </w:rPr>
        <w:t>8.住房保障支出（类）住房改革支出（款）住房公积金（项）:支出决算数为0.00万元，比上年决算减少14.32万元，下降100%，主要原因是：本年功能科目调整，住房公积金经费本年在主科目核算，导致此经费减少</w:t>
      </w:r>
      <w:r>
        <w:rPr>
          <w:rFonts w:hint="eastAsia" w:ascii="仿宋_GB2312" w:eastAsia="仿宋_GB2312"/>
          <w:sz w:val="32"/>
          <w:szCs w:val="32"/>
          <w:lang w:val="zh-CN"/>
        </w:rPr>
        <w:t>。</w:t>
      </w:r>
    </w:p>
    <w:p w14:paraId="29D09FA6">
      <w:pPr>
        <w:ind w:firstLine="640" w:firstLineChars="200"/>
        <w:jc w:val="left"/>
        <w:rPr>
          <w:rFonts w:ascii="仿宋_GB2312" w:eastAsia="仿宋_GB2312"/>
          <w:sz w:val="32"/>
          <w:szCs w:val="32"/>
          <w:lang w:val="zh-CN"/>
        </w:rPr>
      </w:pPr>
      <w:r>
        <w:rPr>
          <w:rFonts w:hint="eastAsia" w:ascii="仿宋_GB2312" w:eastAsia="仿宋_GB2312"/>
          <w:sz w:val="32"/>
          <w:szCs w:val="32"/>
        </w:rPr>
        <w:t>9.社会保障和就业支出（类）行政事业单位养老支出（款）机关事业单位基本养老保险缴费支出（项）:支出决算数为0.00万元，比上年决算减少18.44万元，下降100%，主要原因是：本年功能科目调整，基本养老保险缴费本年在主科目核算，导致此经费减少</w:t>
      </w:r>
      <w:r>
        <w:rPr>
          <w:rFonts w:hint="eastAsia" w:ascii="仿宋_GB2312" w:eastAsia="仿宋_GB2312"/>
          <w:sz w:val="32"/>
          <w:szCs w:val="32"/>
          <w:lang w:val="zh-CN"/>
        </w:rPr>
        <w:t>。</w:t>
      </w:r>
    </w:p>
    <w:p w14:paraId="438962D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8A1D383">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310.60万元，其中：人员经费223.45万元，包括：基本工资、津贴补贴、奖金、机关事业单位基本养老保险缴费、职业年金缴费、职工基本医疗保险缴费、其他社会保障缴费、住房公积金、退休费、抚恤金、生活补助、奖励金、其他对个人和家庭的补助。</w:t>
      </w:r>
    </w:p>
    <w:p w14:paraId="433BF04D">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公用经费87.15万元，包括：办公费、印刷费、邮电费、取暖费、差旅费、维修（护）费、租赁费、培训费、专用材料费、劳务费、委托业务费、其他交通费用、其他商品和服务支出、文物和陈列品购置。</w:t>
      </w:r>
    </w:p>
    <w:p w14:paraId="6D7E9E2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D86126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减少0.18万元，</w:t>
      </w:r>
      <w:r>
        <w:rPr>
          <w:rFonts w:hint="eastAsia" w:ascii="仿宋_GB2312" w:eastAsia="仿宋_GB2312"/>
          <w:sz w:val="32"/>
          <w:szCs w:val="32"/>
        </w:rPr>
        <w:t>下降100.00%,</w:t>
      </w:r>
      <w:r>
        <w:rPr>
          <w:rFonts w:hint="eastAsia" w:ascii="仿宋_GB2312" w:eastAsia="仿宋_GB2312"/>
          <w:sz w:val="32"/>
          <w:szCs w:val="32"/>
          <w:lang w:val="zh-CN"/>
        </w:rPr>
        <w:t>主要原因是：</w:t>
      </w:r>
      <w:r>
        <w:rPr>
          <w:rFonts w:hint="eastAsia" w:ascii="仿宋_GB2312" w:eastAsia="仿宋_GB2312"/>
          <w:sz w:val="32"/>
          <w:szCs w:val="32"/>
        </w:rPr>
        <w:t>单位本年接待次数、人数减少，接待费用减少</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；公务接待费支出0.00万元，占0.00%，比上年减少0.18万元，</w:t>
      </w:r>
      <w:r>
        <w:rPr>
          <w:rFonts w:hint="eastAsia" w:ascii="仿宋_GB2312" w:eastAsia="仿宋_GB2312"/>
          <w:sz w:val="32"/>
          <w:szCs w:val="32"/>
        </w:rPr>
        <w:t>下降100.00%,</w:t>
      </w:r>
      <w:r>
        <w:rPr>
          <w:rFonts w:hint="eastAsia" w:ascii="仿宋_GB2312" w:eastAsia="仿宋_GB2312"/>
          <w:sz w:val="32"/>
          <w:szCs w:val="32"/>
          <w:lang w:val="zh-CN"/>
        </w:rPr>
        <w:t>主要原因是：</w:t>
      </w:r>
      <w:r>
        <w:rPr>
          <w:rFonts w:hint="eastAsia" w:ascii="仿宋_GB2312" w:eastAsia="仿宋_GB2312"/>
          <w:sz w:val="32"/>
          <w:szCs w:val="32"/>
        </w:rPr>
        <w:t>单位本年接待次数、人数减少，接待费用减少</w:t>
      </w:r>
      <w:r>
        <w:rPr>
          <w:rFonts w:hint="eastAsia" w:ascii="仿宋_GB2312" w:eastAsia="仿宋_GB2312"/>
          <w:sz w:val="32"/>
          <w:szCs w:val="32"/>
          <w:lang w:val="zh-CN"/>
        </w:rPr>
        <w:t>。</w:t>
      </w:r>
    </w:p>
    <w:p w14:paraId="0B7C401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38B3DAA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。单位全年安排的因公出国（境）团组0个，因公出国（境）0人次。</w:t>
      </w:r>
    </w:p>
    <w:p w14:paraId="66D7C46E">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7E979DA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。单位全年安排的国内公务接待0批次，0人次。</w:t>
      </w:r>
    </w:p>
    <w:p w14:paraId="19880CE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1362B4EF">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4CC3FA35">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1562A4B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456A634">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B32CD92">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370501C0">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562106EE">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lang w:val="zh-CN"/>
        </w:rPr>
        <w:t>2023年度</w:t>
      </w:r>
      <w:r>
        <w:rPr>
          <w:rFonts w:hint="eastAsia" w:ascii="仿宋_GB2312" w:eastAsia="仿宋_GB2312"/>
          <w:sz w:val="32"/>
          <w:szCs w:val="32"/>
        </w:rPr>
        <w:t>木垒哈萨克自治县文化馆（事业单位）公用经费支出87.15万元，</w:t>
      </w:r>
      <w:r>
        <w:rPr>
          <w:rFonts w:hint="eastAsia" w:ascii="仿宋_GB2312" w:eastAsia="仿宋_GB2312"/>
          <w:sz w:val="32"/>
          <w:szCs w:val="32"/>
          <w:lang w:val="zh-CN"/>
        </w:rPr>
        <w:t>比上年增加32.23万元，增长58.69%，主要原因是：</w:t>
      </w:r>
      <w:r>
        <w:rPr>
          <w:rFonts w:hint="eastAsia" w:ascii="仿宋_GB2312" w:eastAsia="仿宋_GB2312"/>
          <w:sz w:val="32"/>
          <w:szCs w:val="32"/>
        </w:rPr>
        <w:t>单位本年办公费、取暖费、委托业务费较上年增加。</w:t>
      </w:r>
    </w:p>
    <w:p w14:paraId="4C13ACAE">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29D46F5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2023年度政府采购支出总额29.04万元，其中：政府采购货物支出0.00万元、政府采购工程支出1.54万元、政府采购服务支出27.50万元。</w:t>
      </w:r>
    </w:p>
    <w:p w14:paraId="55C05E88">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授予中小企业合同金额29.04万元，占政府采购支出总额的100.00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，其中：授予小微企业合同金额29.04万元，占政府采购支出总额的100.00</w:t>
      </w:r>
      <w:r>
        <w:rPr>
          <w:rFonts w:ascii="仿宋_GB2312" w:eastAsia="仿宋_GB2312"/>
          <w:sz w:val="32"/>
          <w:szCs w:val="32"/>
          <w:lang w:val="zh-CN"/>
        </w:rPr>
        <w:t>%</w:t>
      </w:r>
      <w:r>
        <w:rPr>
          <w:rFonts w:hint="eastAsia" w:ascii="仿宋_GB2312" w:eastAsia="仿宋_GB2312"/>
          <w:sz w:val="32"/>
          <w:szCs w:val="32"/>
        </w:rPr>
        <w:t>。</w:t>
      </w:r>
    </w:p>
    <w:p w14:paraId="4FF75FE5">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6026C1E3">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75.06</w:t>
      </w:r>
      <w:r>
        <w:rPr>
          <w:rFonts w:hint="eastAsia" w:ascii="仿宋_GB2312" w:eastAsia="仿宋_GB2312"/>
          <w:sz w:val="32"/>
          <w:szCs w:val="32"/>
        </w:rPr>
        <w:t>万元，房</w:t>
      </w:r>
      <w:r>
        <w:rPr>
          <w:rFonts w:hint="eastAsia" w:ascii="仿宋_GB2312" w:eastAsia="仿宋_GB2312"/>
          <w:sz w:val="32"/>
          <w:szCs w:val="32"/>
          <w:lang w:val="zh-CN"/>
        </w:rPr>
        <w:t>屋0.0</w:t>
      </w:r>
      <w:r>
        <w:rPr>
          <w:rFonts w:hint="eastAsia" w:ascii="仿宋_GB2312" w:eastAsia="仿宋_GB2312"/>
          <w:sz w:val="32"/>
          <w:szCs w:val="32"/>
        </w:rPr>
        <w:t>0</w:t>
      </w:r>
      <w:r>
        <w:rPr>
          <w:rFonts w:hint="eastAsia" w:ascii="仿宋_GB2312" w:eastAsia="仿宋_GB2312"/>
          <w:sz w:val="32"/>
          <w:szCs w:val="32"/>
          <w:lang w:val="zh-CN"/>
        </w:rPr>
        <w:t>平方米，价值0.00万元。车辆0辆，价值0.00万元，其中：副部（省）级及以上领导用车0辆、主要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单位本年无其他用车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14:paraId="49E8F84E">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098AB62F">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w:t>
      </w:r>
      <w:r>
        <w:rPr>
          <w:rFonts w:hint="eastAsia" w:ascii="仿宋_GB2312" w:eastAsia="仿宋_GB2312"/>
          <w:sz w:val="32"/>
          <w:szCs w:val="32"/>
        </w:rPr>
        <w:t>年预算总额314.08万元，实际执行总额314.08万元；预算绩效评价项目1个，全年预算数41.00万元，全年执行数41.00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w:t>
      </w:r>
      <w:r>
        <w:rPr>
          <w:rFonts w:hint="eastAsia" w:ascii="仿宋_GB2312" w:eastAsia="仿宋_GB2312"/>
          <w:sz w:val="32"/>
          <w:szCs w:val="32"/>
          <w:lang w:eastAsia="zh-CN"/>
        </w:rPr>
        <w:t>高校</w:t>
      </w:r>
      <w:r>
        <w:rPr>
          <w:rFonts w:hint="eastAsia" w:ascii="仿宋_GB2312" w:eastAsia="仿宋_GB2312"/>
          <w:sz w:val="32"/>
          <w:szCs w:val="32"/>
        </w:rPr>
        <w:t>研究人员等；二是提高部门整体支出绩效目标设定的合理性，重视部门整体支出绩效评价中的问题总结。具体项目自评情况附绩效自评表及自评报告。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816"/>
        <w:gridCol w:w="1197"/>
        <w:gridCol w:w="1171"/>
        <w:gridCol w:w="968"/>
        <w:gridCol w:w="1001"/>
        <w:gridCol w:w="722"/>
        <w:gridCol w:w="916"/>
        <w:gridCol w:w="731"/>
      </w:tblGrid>
      <w:tr w14:paraId="116C8C04">
        <w:tblPrEx>
          <w:tblCellMar>
            <w:top w:w="0" w:type="dxa"/>
            <w:left w:w="108" w:type="dxa"/>
            <w:bottom w:w="0" w:type="dxa"/>
            <w:right w:w="108" w:type="dxa"/>
          </w:tblCellMar>
        </w:tblPrEx>
        <w:trPr>
          <w:trHeight w:val="522"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BE7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2FA36FF6">
        <w:tblPrEx>
          <w:tblCellMar>
            <w:top w:w="0" w:type="dxa"/>
            <w:left w:w="108" w:type="dxa"/>
            <w:bottom w:w="0" w:type="dxa"/>
            <w:right w:w="108" w:type="dxa"/>
          </w:tblCellMar>
        </w:tblPrEx>
        <w:trPr>
          <w:trHeight w:val="360"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434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7F34B890">
        <w:tblPrEx>
          <w:tblCellMar>
            <w:top w:w="0" w:type="dxa"/>
            <w:left w:w="108" w:type="dxa"/>
            <w:bottom w:w="0" w:type="dxa"/>
            <w:right w:w="108" w:type="dxa"/>
          </w:tblCellMar>
        </w:tblPrEx>
        <w:trPr>
          <w:trHeight w:val="6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AEC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6D7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木垒哈萨克自治县文化馆</w:t>
            </w:r>
          </w:p>
        </w:tc>
      </w:tr>
      <w:tr w14:paraId="4C72E89E">
        <w:tblPrEx>
          <w:tblCellMar>
            <w:top w:w="0" w:type="dxa"/>
            <w:left w:w="108" w:type="dxa"/>
            <w:bottom w:w="0" w:type="dxa"/>
            <w:right w:w="108" w:type="dxa"/>
          </w:tblCellMar>
        </w:tblPrEx>
        <w:trPr>
          <w:trHeight w:val="570"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9966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77F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C1A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82E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6DB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DEA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C9B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82D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5301E9C8">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2CD49">
            <w:pPr>
              <w:jc w:val="center"/>
              <w:rPr>
                <w:rFonts w:hint="eastAsia"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A6C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58B9C">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9CA86">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B2B0D">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F90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D24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010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0DEEF149">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27EEB">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BA8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915C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4CD28">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F3FE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3B9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932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40B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1EC7FF30">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B28C1">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746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9C81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EF247">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15D4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4D5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A70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D95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56BAA8F4">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58CA1">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105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E14C9">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219.72</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04FE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314.08</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5B4B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314.08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3D1D6">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5DF79">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B11E7">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0F9F8966">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070E8">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84D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18EB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DFBBF">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F9771">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1A7B6">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BCCE7">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0A751">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5919A1B">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6BFA7">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373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B9176">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219.72</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84E0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314.08</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76866">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314.08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CC7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F61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BCF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4BBB190F">
        <w:tblPrEx>
          <w:tblCellMar>
            <w:top w:w="0" w:type="dxa"/>
            <w:left w:w="108" w:type="dxa"/>
            <w:bottom w:w="0" w:type="dxa"/>
            <w:right w:w="108" w:type="dxa"/>
          </w:tblCellMar>
        </w:tblPrEx>
        <w:trPr>
          <w:trHeight w:val="705"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D1F4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4DB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B4E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4B9223C9">
        <w:tblPrEx>
          <w:tblCellMar>
            <w:top w:w="0" w:type="dxa"/>
            <w:left w:w="108" w:type="dxa"/>
            <w:bottom w:w="0" w:type="dxa"/>
            <w:right w:w="108" w:type="dxa"/>
          </w:tblCellMar>
        </w:tblPrEx>
        <w:trPr>
          <w:trHeight w:val="200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D4045">
            <w:pPr>
              <w:jc w:val="center"/>
              <w:rPr>
                <w:rFonts w:hint="eastAsia" w:ascii="宋体" w:hAnsi="宋体" w:cs="宋体"/>
                <w:color w:val="000000"/>
                <w:sz w:val="20"/>
                <w:szCs w:val="20"/>
              </w:rPr>
            </w:pPr>
          </w:p>
        </w:tc>
        <w:tc>
          <w:tcPr>
            <w:tcW w:w="3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577F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贯彻落实党中央、自治区党委关于“推进文化馆（站）免费开放，丰富人民群众的精神文化生活”的要求，通过举办艺术展览、举办文化活动、开展艺术培训等充分发挥文化馆在提高公民鉴赏能力、提高我县各族群众思想道德和科学文化素质的作用，保障我县各族群众基本权益，促进社会和谐稳定。</w:t>
            </w:r>
          </w:p>
        </w:tc>
        <w:tc>
          <w:tcPr>
            <w:tcW w:w="33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DC3CC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截至</w:t>
            </w:r>
            <w:r>
              <w:rPr>
                <w:rFonts w:hint="eastAsia" w:ascii="宋体" w:hAnsi="宋体" w:cs="宋体"/>
                <w:color w:val="000000"/>
                <w:kern w:val="0"/>
                <w:sz w:val="20"/>
                <w:szCs w:val="20"/>
                <w:lang w:bidi="ar"/>
              </w:rPr>
              <w:t>本次自评节点，我单位已开展艺术培训班班次12次，举办展览次数，举办大型文化活动次数6次，举办展览次数4次，充分发挥了文化馆在提高公民鉴赏能力，提高了我县各族群众思想道德和科学文化素质的作用，保障了我县各族群众基本权益，促进社会和谐稳定。</w:t>
            </w:r>
          </w:p>
        </w:tc>
      </w:tr>
      <w:tr w14:paraId="38ABA3FD">
        <w:tblPrEx>
          <w:tblCellMar>
            <w:top w:w="0" w:type="dxa"/>
            <w:left w:w="108" w:type="dxa"/>
            <w:bottom w:w="0" w:type="dxa"/>
            <w:right w:w="108" w:type="dxa"/>
          </w:tblCellMar>
        </w:tblPrEx>
        <w:trPr>
          <w:trHeight w:val="580" w:hRule="atLeast"/>
          <w:jc w:val="center"/>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3A7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F4A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B22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0C4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B03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C51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EA3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963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4A92F144">
        <w:tblPrEx>
          <w:tblCellMar>
            <w:top w:w="0" w:type="dxa"/>
            <w:left w:w="108" w:type="dxa"/>
            <w:bottom w:w="0" w:type="dxa"/>
            <w:right w:w="108" w:type="dxa"/>
          </w:tblCellMar>
        </w:tblPrEx>
        <w:trPr>
          <w:trHeight w:val="740"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BEE4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538F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CBD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165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&gt;=10人</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940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关于木垒哈萨克自治县文化体育广播电视和旅游局所属事业单位机构编制调整有关事宜的通知</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1D3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9CF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10人</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D0A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64CA6CB2">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E9E24">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575CA">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48E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房屋建筑物供暖面积</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772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&gt;=1000平方米</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375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关于木垒哈萨克自治县文化体育广播电视和旅游局所属事业单位机构编制调整有关事宜的通知</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D30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46A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1000平方米</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888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9C73E9F">
        <w:tblPrEx>
          <w:tblCellMar>
            <w:top w:w="0" w:type="dxa"/>
            <w:left w:w="108" w:type="dxa"/>
            <w:bottom w:w="0" w:type="dxa"/>
            <w:right w:w="108" w:type="dxa"/>
          </w:tblCellMar>
        </w:tblPrEx>
        <w:trPr>
          <w:trHeight w:val="740"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B8D7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81BF1">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490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开展艺术培训班班次</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D79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&gt;=14期</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B2D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木垒哈萨克自治县文化馆2023年工作计划</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B31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D3E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14期</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648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14:paraId="45BFE17B">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A2C7B">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958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477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培训学员合格率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CCA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B79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木垒哈萨克自治县文化馆2023年工作计划</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BFE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DE3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1C3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3E559235">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3A15B4">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F9B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A29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文化馆免费开放各项任务按计划完成时间</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B72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=12个月</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E46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木垒哈萨克自治县文化馆2023年工作计划</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68E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C42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12个月</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D68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14:paraId="55880AF5">
        <w:tblPrEx>
          <w:tblCellMar>
            <w:top w:w="0" w:type="dxa"/>
            <w:left w:w="108" w:type="dxa"/>
            <w:bottom w:w="0" w:type="dxa"/>
            <w:right w:w="108" w:type="dxa"/>
          </w:tblCellMar>
        </w:tblPrEx>
        <w:trPr>
          <w:trHeight w:val="740"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D6E1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96F5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53E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举办展览次数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E26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&gt;=4次</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096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木垒哈萨克自治县文化馆2023年工作计划</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C3E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DF1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C31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47654540">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93850">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230B3">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322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举办大型文化活动次数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ED8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&gt;=6次</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922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木垒哈萨克自治县文化馆2023年工作计划</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FBB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B4A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A50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782CB43A">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E8AA2">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92F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7D3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大型文化活动开展成功率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875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3AC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木垒哈萨克自治县文化馆2023年工作计划</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4D3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DD2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F53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bl>
    <w:p w14:paraId="553683C1">
      <w:pPr>
        <w:ind w:firstLine="640" w:firstLineChars="200"/>
        <w:jc w:val="left"/>
        <w:rPr>
          <w:rFonts w:hint="eastAsia" w:ascii="黑体" w:hAnsi="黑体" w:eastAsia="黑体" w:cs="宋体"/>
          <w:bCs/>
          <w:kern w:val="0"/>
          <w:sz w:val="32"/>
          <w:szCs w:val="32"/>
        </w:rPr>
      </w:pPr>
    </w:p>
    <w:tbl>
      <w:tblPr>
        <w:tblStyle w:val="9"/>
        <w:tblW w:w="5000" w:type="pct"/>
        <w:jc w:val="center"/>
        <w:tblLayout w:type="fixed"/>
        <w:tblCellMar>
          <w:top w:w="0" w:type="dxa"/>
          <w:left w:w="108" w:type="dxa"/>
          <w:bottom w:w="0" w:type="dxa"/>
          <w:right w:w="108" w:type="dxa"/>
        </w:tblCellMar>
      </w:tblPr>
      <w:tblGrid>
        <w:gridCol w:w="392"/>
        <w:gridCol w:w="393"/>
        <w:gridCol w:w="1450"/>
        <w:gridCol w:w="283"/>
        <w:gridCol w:w="1134"/>
        <w:gridCol w:w="1335"/>
        <w:gridCol w:w="83"/>
        <w:gridCol w:w="567"/>
        <w:gridCol w:w="708"/>
        <w:gridCol w:w="44"/>
        <w:gridCol w:w="481"/>
        <w:gridCol w:w="159"/>
        <w:gridCol w:w="505"/>
        <w:gridCol w:w="330"/>
        <w:gridCol w:w="658"/>
      </w:tblGrid>
      <w:tr w14:paraId="135E9468">
        <w:tblPrEx>
          <w:tblCellMar>
            <w:top w:w="0" w:type="dxa"/>
            <w:left w:w="108" w:type="dxa"/>
            <w:bottom w:w="0" w:type="dxa"/>
            <w:right w:w="108" w:type="dxa"/>
          </w:tblCellMar>
        </w:tblPrEx>
        <w:trPr>
          <w:trHeight w:val="408" w:hRule="atLeast"/>
          <w:jc w:val="center"/>
        </w:trPr>
        <w:tc>
          <w:tcPr>
            <w:tcW w:w="852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2769729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项目支出绩效自评表</w:t>
            </w:r>
          </w:p>
        </w:tc>
      </w:tr>
      <w:tr w14:paraId="1A32803D">
        <w:tblPrEx>
          <w:tblCellMar>
            <w:top w:w="0" w:type="dxa"/>
            <w:left w:w="108" w:type="dxa"/>
            <w:bottom w:w="0" w:type="dxa"/>
            <w:right w:w="108" w:type="dxa"/>
          </w:tblCellMar>
        </w:tblPrEx>
        <w:trPr>
          <w:trHeight w:val="288" w:hRule="atLeast"/>
          <w:jc w:val="center"/>
        </w:trPr>
        <w:tc>
          <w:tcPr>
            <w:tcW w:w="852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2E700311">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sz w:val="20"/>
                <w:szCs w:val="20"/>
                <w:lang w:eastAsia="zh-CN"/>
              </w:rPr>
              <w:t>（</w:t>
            </w:r>
            <w:r>
              <w:rPr>
                <w:rFonts w:hint="eastAsia" w:ascii="宋体" w:hAnsi="宋体" w:cs="宋体"/>
                <w:color w:val="000000"/>
                <w:sz w:val="20"/>
                <w:szCs w:val="20"/>
                <w:lang w:val="en-US" w:eastAsia="zh-CN"/>
              </w:rPr>
              <w:t>2023年度</w:t>
            </w:r>
            <w:r>
              <w:rPr>
                <w:rFonts w:hint="eastAsia" w:ascii="宋体" w:hAnsi="宋体" w:cs="宋体"/>
                <w:color w:val="000000"/>
                <w:sz w:val="20"/>
                <w:szCs w:val="20"/>
                <w:lang w:eastAsia="zh-CN"/>
              </w:rPr>
              <w:t>）</w:t>
            </w:r>
          </w:p>
        </w:tc>
      </w:tr>
      <w:tr w14:paraId="12F24566">
        <w:tblPrEx>
          <w:tblCellMar>
            <w:top w:w="0" w:type="dxa"/>
            <w:left w:w="108" w:type="dxa"/>
            <w:bottom w:w="0" w:type="dxa"/>
            <w:right w:w="108" w:type="dxa"/>
          </w:tblCellMar>
        </w:tblPrEx>
        <w:trPr>
          <w:trHeight w:val="288" w:hRule="atLeast"/>
          <w:jc w:val="center"/>
        </w:trPr>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6E6E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773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0D9472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2023年中央支持地方公共文化服务体系建设专项经费</w:t>
            </w:r>
          </w:p>
        </w:tc>
      </w:tr>
      <w:tr w14:paraId="798BC722">
        <w:tblPrEx>
          <w:tblCellMar>
            <w:top w:w="0" w:type="dxa"/>
            <w:left w:w="108" w:type="dxa"/>
            <w:bottom w:w="0" w:type="dxa"/>
            <w:right w:w="108" w:type="dxa"/>
          </w:tblCellMar>
        </w:tblPrEx>
        <w:trPr>
          <w:trHeight w:val="288" w:hRule="atLeast"/>
          <w:jc w:val="center"/>
        </w:trPr>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5D27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42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CDDE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木垒哈萨克自治县文化馆</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E4C4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217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64D96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木垒哈萨克自治县文化馆</w:t>
            </w:r>
          </w:p>
        </w:tc>
      </w:tr>
      <w:tr w14:paraId="0088541F">
        <w:tblPrEx>
          <w:tblCellMar>
            <w:top w:w="0" w:type="dxa"/>
            <w:left w:w="108" w:type="dxa"/>
            <w:bottom w:w="0" w:type="dxa"/>
            <w:right w:w="108" w:type="dxa"/>
          </w:tblCellMar>
        </w:tblPrEx>
        <w:trPr>
          <w:trHeight w:val="480" w:hRule="atLeast"/>
          <w:jc w:val="center"/>
        </w:trPr>
        <w:tc>
          <w:tcPr>
            <w:tcW w:w="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6368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42843">
            <w:pPr>
              <w:jc w:val="center"/>
              <w:rPr>
                <w:rFonts w:hint="eastAsia" w:ascii="宋体" w:hAnsi="宋体" w:cs="宋体"/>
                <w:color w:val="000000"/>
                <w:sz w:val="20"/>
                <w:szCs w:val="20"/>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A95C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4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43C4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E6D0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6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DC89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9D1E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77E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0D3A4F60">
        <w:tblPrEx>
          <w:tblCellMar>
            <w:top w:w="0" w:type="dxa"/>
            <w:left w:w="108" w:type="dxa"/>
            <w:bottom w:w="0" w:type="dxa"/>
            <w:right w:w="108" w:type="dxa"/>
          </w:tblCellMar>
        </w:tblPrEx>
        <w:trPr>
          <w:trHeight w:val="440" w:hRule="atLeast"/>
          <w:jc w:val="center"/>
        </w:trPr>
        <w:tc>
          <w:tcPr>
            <w:tcW w:w="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0FCDFB">
            <w:pPr>
              <w:jc w:val="center"/>
              <w:rPr>
                <w:rFonts w:hint="eastAsia" w:ascii="宋体" w:hAnsi="宋体" w:cs="宋体"/>
                <w:color w:val="000000"/>
                <w:sz w:val="20"/>
                <w:szCs w:val="20"/>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DC9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13F5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41.00</w:t>
            </w:r>
          </w:p>
        </w:tc>
        <w:tc>
          <w:tcPr>
            <w:tcW w:w="14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B6B7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41.00</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A8E2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41.00</w:t>
            </w:r>
          </w:p>
        </w:tc>
        <w:tc>
          <w:tcPr>
            <w:tcW w:w="6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0981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BD43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C3C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14:paraId="39392FC8">
        <w:tblPrEx>
          <w:tblCellMar>
            <w:top w:w="0" w:type="dxa"/>
            <w:left w:w="108" w:type="dxa"/>
            <w:bottom w:w="0" w:type="dxa"/>
            <w:right w:w="108" w:type="dxa"/>
          </w:tblCellMar>
        </w:tblPrEx>
        <w:trPr>
          <w:trHeight w:val="440" w:hRule="atLeast"/>
          <w:jc w:val="center"/>
        </w:trPr>
        <w:tc>
          <w:tcPr>
            <w:tcW w:w="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3CAED">
            <w:pPr>
              <w:jc w:val="center"/>
              <w:rPr>
                <w:rFonts w:hint="eastAsia" w:ascii="宋体" w:hAnsi="宋体" w:cs="宋体"/>
                <w:color w:val="000000"/>
                <w:sz w:val="20"/>
                <w:szCs w:val="20"/>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CB0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61C6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41.00</w:t>
            </w:r>
          </w:p>
        </w:tc>
        <w:tc>
          <w:tcPr>
            <w:tcW w:w="14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FF0E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41.00</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E091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41.00</w:t>
            </w:r>
          </w:p>
        </w:tc>
        <w:tc>
          <w:tcPr>
            <w:tcW w:w="6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4AF2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4095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BA7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49EB53CF">
        <w:tblPrEx>
          <w:tblCellMar>
            <w:top w:w="0" w:type="dxa"/>
            <w:left w:w="108" w:type="dxa"/>
            <w:bottom w:w="0" w:type="dxa"/>
            <w:right w:w="108" w:type="dxa"/>
          </w:tblCellMar>
        </w:tblPrEx>
        <w:trPr>
          <w:trHeight w:val="440" w:hRule="atLeast"/>
          <w:jc w:val="center"/>
        </w:trPr>
        <w:tc>
          <w:tcPr>
            <w:tcW w:w="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2673B">
            <w:pPr>
              <w:jc w:val="center"/>
              <w:rPr>
                <w:rFonts w:hint="eastAsia" w:ascii="宋体" w:hAnsi="宋体" w:cs="宋体"/>
                <w:color w:val="000000"/>
                <w:sz w:val="20"/>
                <w:szCs w:val="20"/>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F130E">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9AEB02">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4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368D48">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D6F008">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C313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D144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1C1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63F692CC">
        <w:tblPrEx>
          <w:tblCellMar>
            <w:top w:w="0" w:type="dxa"/>
            <w:left w:w="108" w:type="dxa"/>
            <w:bottom w:w="0" w:type="dxa"/>
            <w:right w:w="108" w:type="dxa"/>
          </w:tblCellMar>
        </w:tblPrEx>
        <w:trPr>
          <w:trHeight w:val="288" w:hRule="atLeast"/>
          <w:jc w:val="center"/>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FB0A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46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0D5CE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4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557CA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6B1312E0">
        <w:tblPrEx>
          <w:tblCellMar>
            <w:top w:w="0" w:type="dxa"/>
            <w:left w:w="108" w:type="dxa"/>
            <w:bottom w:w="0" w:type="dxa"/>
            <w:right w:w="108" w:type="dxa"/>
          </w:tblCellMar>
        </w:tblPrEx>
        <w:trPr>
          <w:trHeight w:val="540" w:hRule="atLeast"/>
          <w:jc w:val="center"/>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6A99FE">
            <w:pPr>
              <w:jc w:val="center"/>
              <w:rPr>
                <w:rFonts w:hint="eastAsia" w:ascii="宋体" w:hAnsi="宋体" w:cs="宋体"/>
                <w:color w:val="000000"/>
                <w:sz w:val="20"/>
                <w:szCs w:val="20"/>
              </w:rPr>
            </w:pPr>
          </w:p>
        </w:tc>
        <w:tc>
          <w:tcPr>
            <w:tcW w:w="4678" w:type="dxa"/>
            <w:gridSpan w:val="6"/>
            <w:tcBorders>
              <w:top w:val="single" w:color="000000" w:sz="4" w:space="0"/>
              <w:left w:val="single" w:color="000000" w:sz="4" w:space="0"/>
              <w:bottom w:val="single" w:color="000000" w:sz="4" w:space="0"/>
              <w:right w:val="single" w:color="000000" w:sz="4" w:space="0"/>
            </w:tcBorders>
            <w:shd w:val="clear" w:color="auto" w:fill="auto"/>
          </w:tcPr>
          <w:p w14:paraId="65A25EBE">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依据昌州财教</w:t>
            </w:r>
            <w:r>
              <w:rPr>
                <w:rFonts w:hint="eastAsia" w:ascii="宋体" w:hAnsi="宋体" w:cs="宋体"/>
                <w:color w:val="000000"/>
                <w:kern w:val="0"/>
                <w:sz w:val="20"/>
                <w:szCs w:val="20"/>
                <w:lang w:eastAsia="zh-CN" w:bidi="ar"/>
              </w:rPr>
              <w:t>〔2022〕74号</w:t>
            </w:r>
            <w:r>
              <w:rPr>
                <w:rFonts w:hint="eastAsia" w:ascii="宋体" w:hAnsi="宋体" w:cs="宋体"/>
                <w:color w:val="000000"/>
                <w:kern w:val="0"/>
                <w:sz w:val="20"/>
                <w:szCs w:val="20"/>
                <w:lang w:bidi="ar"/>
              </w:rPr>
              <w:t>文件要求，1.计划使用中央支持地方公共文化体系建设补助资金11万元，对木垒县内国家级、自治区级、自治州级非物质文化遗产名录项目代表性传承人传习活动进行补贴；2.计划使用中央支持地方公共文化体系建设补助资金30万元对优秀业余社团、文化大院、基层文化带头人达到相关要求并通过考核的，进行奖补。</w:t>
            </w:r>
          </w:p>
        </w:tc>
        <w:tc>
          <w:tcPr>
            <w:tcW w:w="3452" w:type="dxa"/>
            <w:gridSpan w:val="8"/>
            <w:tcBorders>
              <w:top w:val="single" w:color="000000" w:sz="4" w:space="0"/>
              <w:left w:val="single" w:color="000000" w:sz="4" w:space="0"/>
              <w:bottom w:val="single" w:color="000000" w:sz="4" w:space="0"/>
              <w:right w:val="single" w:color="000000" w:sz="4" w:space="0"/>
            </w:tcBorders>
            <w:shd w:val="clear" w:color="auto" w:fill="auto"/>
          </w:tcPr>
          <w:p w14:paraId="21198514">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截止本项目完成时限，我单位针对本项目已完成如下工作：已完成补助非遗代表性传承人21人，奖励业余文艺团队31个，奖励文化大院6个，奖励基层文化带头人30人，对木垒县内国家级、自治区级、自治州级非物质文化遗产名录项目代表性传承人传习活动进行了补贴。</w:t>
            </w:r>
          </w:p>
        </w:tc>
      </w:tr>
      <w:tr w14:paraId="437AE951">
        <w:tblPrEx>
          <w:tblCellMar>
            <w:top w:w="0" w:type="dxa"/>
            <w:left w:w="108" w:type="dxa"/>
            <w:bottom w:w="0" w:type="dxa"/>
            <w:right w:w="108" w:type="dxa"/>
          </w:tblCellMar>
        </w:tblPrEx>
        <w:trPr>
          <w:trHeight w:val="312" w:hRule="atLeast"/>
          <w:jc w:val="center"/>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C80792">
            <w:pPr>
              <w:jc w:val="center"/>
              <w:rPr>
                <w:rFonts w:hint="eastAsia" w:ascii="宋体" w:hAnsi="宋体" w:cs="宋体"/>
                <w:color w:val="000000"/>
                <w:sz w:val="20"/>
                <w:szCs w:val="20"/>
              </w:rPr>
            </w:pPr>
          </w:p>
        </w:tc>
        <w:tc>
          <w:tcPr>
            <w:tcW w:w="3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D750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7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4A07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246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05BF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907E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7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5B38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4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9E30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6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C570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98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85D6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39807285">
        <w:tblPrEx>
          <w:tblCellMar>
            <w:top w:w="0" w:type="dxa"/>
            <w:left w:w="108" w:type="dxa"/>
            <w:bottom w:w="0" w:type="dxa"/>
            <w:right w:w="108" w:type="dxa"/>
          </w:tblCellMar>
        </w:tblPrEx>
        <w:trPr>
          <w:trHeight w:val="312" w:hRule="atLeast"/>
          <w:jc w:val="center"/>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59BBF">
            <w:pPr>
              <w:jc w:val="center"/>
              <w:rPr>
                <w:rFonts w:hint="eastAsia" w:ascii="宋体" w:hAnsi="宋体" w:cs="宋体"/>
                <w:color w:val="000000"/>
                <w:sz w:val="20"/>
                <w:szCs w:val="20"/>
              </w:rPr>
            </w:pPr>
          </w:p>
        </w:tc>
        <w:tc>
          <w:tcPr>
            <w:tcW w:w="3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44C7A1">
            <w:pPr>
              <w:jc w:val="center"/>
              <w:rPr>
                <w:rFonts w:hint="eastAsia" w:ascii="宋体" w:hAnsi="宋体" w:cs="宋体"/>
                <w:color w:val="000000"/>
                <w:sz w:val="20"/>
                <w:szCs w:val="20"/>
              </w:rPr>
            </w:pPr>
          </w:p>
        </w:tc>
        <w:tc>
          <w:tcPr>
            <w:tcW w:w="17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AB2BC7">
            <w:pPr>
              <w:jc w:val="center"/>
              <w:rPr>
                <w:rFonts w:hint="eastAsia" w:ascii="宋体" w:hAnsi="宋体" w:cs="宋体"/>
                <w:color w:val="000000"/>
                <w:sz w:val="20"/>
                <w:szCs w:val="20"/>
              </w:rPr>
            </w:pPr>
          </w:p>
        </w:tc>
        <w:tc>
          <w:tcPr>
            <w:tcW w:w="246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B4549">
            <w:pPr>
              <w:jc w:val="center"/>
              <w:rPr>
                <w:rFonts w:hint="eastAsia" w:ascii="宋体" w:hAnsi="宋体" w:cs="宋体"/>
                <w:color w:val="000000"/>
                <w:sz w:val="20"/>
                <w:szCs w:val="20"/>
              </w:rPr>
            </w:pPr>
          </w:p>
        </w:tc>
        <w:tc>
          <w:tcPr>
            <w:tcW w:w="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DF31C">
            <w:pPr>
              <w:jc w:val="center"/>
              <w:rPr>
                <w:rFonts w:hint="eastAsia" w:ascii="宋体" w:hAnsi="宋体" w:cs="宋体"/>
                <w:color w:val="000000"/>
                <w:sz w:val="20"/>
                <w:szCs w:val="20"/>
              </w:rPr>
            </w:pPr>
          </w:p>
        </w:tc>
        <w:tc>
          <w:tcPr>
            <w:tcW w:w="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4611A">
            <w:pPr>
              <w:jc w:val="center"/>
              <w:rPr>
                <w:rFonts w:hint="eastAsia" w:ascii="宋体" w:hAnsi="宋体" w:cs="宋体"/>
                <w:color w:val="000000"/>
                <w:sz w:val="20"/>
                <w:szCs w:val="20"/>
              </w:rPr>
            </w:pPr>
          </w:p>
        </w:tc>
        <w:tc>
          <w:tcPr>
            <w:tcW w:w="4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DD374">
            <w:pPr>
              <w:jc w:val="center"/>
              <w:rPr>
                <w:rFonts w:hint="eastAsia" w:ascii="宋体" w:hAnsi="宋体" w:cs="宋体"/>
                <w:color w:val="000000"/>
                <w:sz w:val="20"/>
                <w:szCs w:val="20"/>
              </w:rPr>
            </w:pPr>
          </w:p>
        </w:tc>
        <w:tc>
          <w:tcPr>
            <w:tcW w:w="6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5B4AC">
            <w:pPr>
              <w:jc w:val="center"/>
              <w:rPr>
                <w:rFonts w:hint="eastAsia" w:ascii="宋体" w:hAnsi="宋体" w:cs="宋体"/>
                <w:color w:val="000000"/>
                <w:sz w:val="20"/>
                <w:szCs w:val="20"/>
              </w:rPr>
            </w:pPr>
          </w:p>
        </w:tc>
        <w:tc>
          <w:tcPr>
            <w:tcW w:w="9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118C7">
            <w:pPr>
              <w:jc w:val="center"/>
              <w:rPr>
                <w:rFonts w:hint="eastAsia" w:ascii="宋体" w:hAnsi="宋体" w:cs="宋体"/>
                <w:color w:val="000000"/>
                <w:sz w:val="20"/>
                <w:szCs w:val="20"/>
              </w:rPr>
            </w:pPr>
          </w:p>
        </w:tc>
      </w:tr>
      <w:tr w14:paraId="074FF2A6">
        <w:tblPrEx>
          <w:tblCellMar>
            <w:top w:w="0" w:type="dxa"/>
            <w:left w:w="108" w:type="dxa"/>
            <w:bottom w:w="0" w:type="dxa"/>
            <w:right w:w="108" w:type="dxa"/>
          </w:tblCellMar>
        </w:tblPrEx>
        <w:trPr>
          <w:trHeight w:val="400" w:hRule="atLeast"/>
          <w:jc w:val="center"/>
        </w:trPr>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B625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3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BDB0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2BE7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1434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补助非遗代表性传承人人数</w:t>
            </w:r>
          </w:p>
        </w:tc>
        <w:tc>
          <w:tcPr>
            <w:tcW w:w="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8FCE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&gt;=21人</w:t>
            </w:r>
          </w:p>
        </w:tc>
        <w:tc>
          <w:tcPr>
            <w:tcW w:w="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F28D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=21人</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653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519A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9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AB6509">
            <w:pPr>
              <w:jc w:val="center"/>
              <w:rPr>
                <w:rFonts w:hint="eastAsia" w:ascii="宋体" w:hAnsi="宋体" w:cs="宋体"/>
                <w:color w:val="000000"/>
                <w:sz w:val="20"/>
                <w:szCs w:val="20"/>
              </w:rPr>
            </w:pPr>
          </w:p>
        </w:tc>
      </w:tr>
      <w:tr w14:paraId="5B77E183">
        <w:tblPrEx>
          <w:tblCellMar>
            <w:top w:w="0" w:type="dxa"/>
            <w:left w:w="108" w:type="dxa"/>
            <w:bottom w:w="0" w:type="dxa"/>
            <w:right w:w="108" w:type="dxa"/>
          </w:tblCellMar>
        </w:tblPrEx>
        <w:trPr>
          <w:trHeight w:val="400" w:hRule="atLeast"/>
          <w:jc w:val="center"/>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C7EC2">
            <w:pPr>
              <w:jc w:val="center"/>
              <w:rPr>
                <w:rFonts w:hint="eastAsia" w:ascii="宋体" w:hAnsi="宋体" w:cs="宋体"/>
                <w:color w:val="000000"/>
                <w:sz w:val="20"/>
                <w:szCs w:val="20"/>
              </w:rPr>
            </w:pPr>
          </w:p>
        </w:tc>
        <w:tc>
          <w:tcPr>
            <w:tcW w:w="3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791A5">
            <w:pPr>
              <w:jc w:val="center"/>
              <w:rPr>
                <w:rFonts w:hint="eastAsia" w:ascii="宋体" w:hAnsi="宋体" w:cs="宋体"/>
                <w:color w:val="000000"/>
                <w:sz w:val="20"/>
                <w:szCs w:val="20"/>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DB57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8032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奖励业余文艺团队个数</w:t>
            </w:r>
          </w:p>
        </w:tc>
        <w:tc>
          <w:tcPr>
            <w:tcW w:w="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5D66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=31个</w:t>
            </w:r>
          </w:p>
        </w:tc>
        <w:tc>
          <w:tcPr>
            <w:tcW w:w="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3CAC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=31个</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392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E2FE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9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564A93">
            <w:pPr>
              <w:jc w:val="center"/>
              <w:rPr>
                <w:rFonts w:hint="eastAsia" w:ascii="宋体" w:hAnsi="宋体" w:cs="宋体"/>
                <w:color w:val="000000"/>
                <w:sz w:val="20"/>
                <w:szCs w:val="20"/>
              </w:rPr>
            </w:pPr>
          </w:p>
        </w:tc>
      </w:tr>
      <w:tr w14:paraId="49DF3C61">
        <w:tblPrEx>
          <w:tblCellMar>
            <w:top w:w="0" w:type="dxa"/>
            <w:left w:w="108" w:type="dxa"/>
            <w:bottom w:w="0" w:type="dxa"/>
            <w:right w:w="108" w:type="dxa"/>
          </w:tblCellMar>
        </w:tblPrEx>
        <w:trPr>
          <w:trHeight w:val="400" w:hRule="atLeast"/>
          <w:jc w:val="center"/>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33F06">
            <w:pPr>
              <w:jc w:val="center"/>
              <w:rPr>
                <w:rFonts w:hint="eastAsia" w:ascii="宋体" w:hAnsi="宋体" w:cs="宋体"/>
                <w:color w:val="000000"/>
                <w:sz w:val="20"/>
                <w:szCs w:val="20"/>
              </w:rPr>
            </w:pPr>
          </w:p>
        </w:tc>
        <w:tc>
          <w:tcPr>
            <w:tcW w:w="3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59A40">
            <w:pPr>
              <w:jc w:val="center"/>
              <w:rPr>
                <w:rFonts w:hint="eastAsia" w:ascii="宋体" w:hAnsi="宋体" w:cs="宋体"/>
                <w:color w:val="000000"/>
                <w:sz w:val="20"/>
                <w:szCs w:val="20"/>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DB77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8D7A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奖励文化大院个数</w:t>
            </w:r>
          </w:p>
        </w:tc>
        <w:tc>
          <w:tcPr>
            <w:tcW w:w="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C68A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=6个</w:t>
            </w:r>
          </w:p>
        </w:tc>
        <w:tc>
          <w:tcPr>
            <w:tcW w:w="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C964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=6个</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148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F209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9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5152B9">
            <w:pPr>
              <w:jc w:val="center"/>
              <w:rPr>
                <w:rFonts w:hint="eastAsia" w:ascii="宋体" w:hAnsi="宋体" w:cs="宋体"/>
                <w:color w:val="000000"/>
                <w:sz w:val="20"/>
                <w:szCs w:val="20"/>
              </w:rPr>
            </w:pPr>
          </w:p>
        </w:tc>
      </w:tr>
      <w:tr w14:paraId="06A584FE">
        <w:tblPrEx>
          <w:tblCellMar>
            <w:top w:w="0" w:type="dxa"/>
            <w:left w:w="108" w:type="dxa"/>
            <w:bottom w:w="0" w:type="dxa"/>
            <w:right w:w="108" w:type="dxa"/>
          </w:tblCellMar>
        </w:tblPrEx>
        <w:trPr>
          <w:trHeight w:val="400" w:hRule="atLeast"/>
          <w:jc w:val="center"/>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C1F6C">
            <w:pPr>
              <w:jc w:val="center"/>
              <w:rPr>
                <w:rFonts w:hint="eastAsia" w:ascii="宋体" w:hAnsi="宋体" w:cs="宋体"/>
                <w:color w:val="000000"/>
                <w:sz w:val="20"/>
                <w:szCs w:val="20"/>
              </w:rPr>
            </w:pPr>
          </w:p>
        </w:tc>
        <w:tc>
          <w:tcPr>
            <w:tcW w:w="3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E1EF8">
            <w:pPr>
              <w:jc w:val="center"/>
              <w:rPr>
                <w:rFonts w:hint="eastAsia" w:ascii="宋体" w:hAnsi="宋体" w:cs="宋体"/>
                <w:color w:val="000000"/>
                <w:sz w:val="20"/>
                <w:szCs w:val="20"/>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26D4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04C9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奖励基层文化带头人人数</w:t>
            </w:r>
          </w:p>
        </w:tc>
        <w:tc>
          <w:tcPr>
            <w:tcW w:w="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77F5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=30人</w:t>
            </w:r>
          </w:p>
        </w:tc>
        <w:tc>
          <w:tcPr>
            <w:tcW w:w="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247A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=30人</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D6A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4759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9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3A7BA0">
            <w:pPr>
              <w:jc w:val="center"/>
              <w:rPr>
                <w:rFonts w:hint="eastAsia" w:ascii="宋体" w:hAnsi="宋体" w:cs="宋体"/>
                <w:color w:val="000000"/>
                <w:sz w:val="20"/>
                <w:szCs w:val="20"/>
              </w:rPr>
            </w:pPr>
          </w:p>
        </w:tc>
      </w:tr>
      <w:tr w14:paraId="27EE9A0E">
        <w:tblPrEx>
          <w:tblCellMar>
            <w:top w:w="0" w:type="dxa"/>
            <w:left w:w="108" w:type="dxa"/>
            <w:bottom w:w="0" w:type="dxa"/>
            <w:right w:w="108" w:type="dxa"/>
          </w:tblCellMar>
        </w:tblPrEx>
        <w:trPr>
          <w:trHeight w:val="400" w:hRule="atLeast"/>
          <w:jc w:val="center"/>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EBABEA">
            <w:pPr>
              <w:jc w:val="center"/>
              <w:rPr>
                <w:rFonts w:hint="eastAsia" w:ascii="宋体" w:hAnsi="宋体" w:cs="宋体"/>
                <w:color w:val="000000"/>
                <w:sz w:val="20"/>
                <w:szCs w:val="20"/>
              </w:rPr>
            </w:pPr>
          </w:p>
        </w:tc>
        <w:tc>
          <w:tcPr>
            <w:tcW w:w="3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EE6DA">
            <w:pPr>
              <w:jc w:val="center"/>
              <w:rPr>
                <w:rFonts w:hint="eastAsia" w:ascii="宋体" w:hAnsi="宋体" w:cs="宋体"/>
                <w:color w:val="000000"/>
                <w:sz w:val="20"/>
                <w:szCs w:val="20"/>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5B37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C525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奖励对象考核通过率</w:t>
            </w:r>
          </w:p>
        </w:tc>
        <w:tc>
          <w:tcPr>
            <w:tcW w:w="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6EA6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E8C6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561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4DC6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9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BD8044">
            <w:pPr>
              <w:jc w:val="center"/>
              <w:rPr>
                <w:rFonts w:hint="eastAsia" w:ascii="宋体" w:hAnsi="宋体" w:cs="宋体"/>
                <w:color w:val="000000"/>
                <w:sz w:val="20"/>
                <w:szCs w:val="20"/>
              </w:rPr>
            </w:pPr>
          </w:p>
        </w:tc>
      </w:tr>
      <w:tr w14:paraId="3B7CE36D">
        <w:tblPrEx>
          <w:tblCellMar>
            <w:top w:w="0" w:type="dxa"/>
            <w:left w:w="108" w:type="dxa"/>
            <w:bottom w:w="0" w:type="dxa"/>
            <w:right w:w="108" w:type="dxa"/>
          </w:tblCellMar>
        </w:tblPrEx>
        <w:trPr>
          <w:trHeight w:val="400" w:hRule="atLeast"/>
          <w:jc w:val="center"/>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8CD67">
            <w:pPr>
              <w:jc w:val="center"/>
              <w:rPr>
                <w:rFonts w:hint="eastAsia" w:ascii="宋体" w:hAnsi="宋体" w:cs="宋体"/>
                <w:color w:val="000000"/>
                <w:sz w:val="20"/>
                <w:szCs w:val="20"/>
              </w:rPr>
            </w:pPr>
          </w:p>
        </w:tc>
        <w:tc>
          <w:tcPr>
            <w:tcW w:w="3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C9262">
            <w:pPr>
              <w:jc w:val="center"/>
              <w:rPr>
                <w:rFonts w:hint="eastAsia" w:ascii="宋体" w:hAnsi="宋体" w:cs="宋体"/>
                <w:color w:val="000000"/>
                <w:sz w:val="20"/>
                <w:szCs w:val="20"/>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5862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F7C9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补助资金发放率</w:t>
            </w:r>
          </w:p>
        </w:tc>
        <w:tc>
          <w:tcPr>
            <w:tcW w:w="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1A65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ADDF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F42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6615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9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405155">
            <w:pPr>
              <w:jc w:val="center"/>
              <w:rPr>
                <w:rFonts w:hint="eastAsia" w:ascii="宋体" w:hAnsi="宋体" w:cs="宋体"/>
                <w:color w:val="000000"/>
                <w:sz w:val="20"/>
                <w:szCs w:val="20"/>
              </w:rPr>
            </w:pPr>
          </w:p>
        </w:tc>
      </w:tr>
      <w:tr w14:paraId="2BD4D59C">
        <w:tblPrEx>
          <w:tblCellMar>
            <w:top w:w="0" w:type="dxa"/>
            <w:left w:w="108" w:type="dxa"/>
            <w:bottom w:w="0" w:type="dxa"/>
            <w:right w:w="108" w:type="dxa"/>
          </w:tblCellMar>
        </w:tblPrEx>
        <w:trPr>
          <w:trHeight w:val="400" w:hRule="atLeast"/>
          <w:jc w:val="center"/>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DAA42">
            <w:pPr>
              <w:jc w:val="center"/>
              <w:rPr>
                <w:rFonts w:hint="eastAsia" w:ascii="宋体" w:hAnsi="宋体" w:cs="宋体"/>
                <w:color w:val="000000"/>
                <w:sz w:val="20"/>
                <w:szCs w:val="20"/>
              </w:rPr>
            </w:pPr>
          </w:p>
        </w:tc>
        <w:tc>
          <w:tcPr>
            <w:tcW w:w="3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981C4">
            <w:pPr>
              <w:jc w:val="center"/>
              <w:rPr>
                <w:rFonts w:hint="eastAsia" w:ascii="宋体" w:hAnsi="宋体" w:cs="宋体"/>
                <w:color w:val="000000"/>
                <w:sz w:val="20"/>
                <w:szCs w:val="20"/>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2403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CF62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按计划完成时间</w:t>
            </w:r>
          </w:p>
        </w:tc>
        <w:tc>
          <w:tcPr>
            <w:tcW w:w="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9B27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&lt;=12个月</w:t>
            </w:r>
          </w:p>
        </w:tc>
        <w:tc>
          <w:tcPr>
            <w:tcW w:w="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589E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=12个月</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591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2AD7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9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A0B88D">
            <w:pPr>
              <w:jc w:val="center"/>
              <w:rPr>
                <w:rFonts w:hint="eastAsia" w:ascii="宋体" w:hAnsi="宋体" w:cs="宋体"/>
                <w:color w:val="000000"/>
                <w:sz w:val="20"/>
                <w:szCs w:val="20"/>
              </w:rPr>
            </w:pPr>
          </w:p>
        </w:tc>
      </w:tr>
      <w:tr w14:paraId="5197DE9B">
        <w:tblPrEx>
          <w:tblCellMar>
            <w:top w:w="0" w:type="dxa"/>
            <w:left w:w="108" w:type="dxa"/>
            <w:bottom w:w="0" w:type="dxa"/>
            <w:right w:w="108" w:type="dxa"/>
          </w:tblCellMar>
        </w:tblPrEx>
        <w:trPr>
          <w:trHeight w:val="400" w:hRule="atLeast"/>
          <w:jc w:val="center"/>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39A17">
            <w:pPr>
              <w:jc w:val="center"/>
              <w:rPr>
                <w:rFonts w:hint="eastAsia" w:ascii="宋体" w:hAnsi="宋体" w:cs="宋体"/>
                <w:color w:val="000000"/>
                <w:sz w:val="20"/>
                <w:szCs w:val="20"/>
              </w:rPr>
            </w:pPr>
          </w:p>
        </w:tc>
        <w:tc>
          <w:tcPr>
            <w:tcW w:w="3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0B24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8C81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CA94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项目预算控制率</w:t>
            </w:r>
          </w:p>
        </w:tc>
        <w:tc>
          <w:tcPr>
            <w:tcW w:w="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D7FD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&lt;=100%</w:t>
            </w:r>
          </w:p>
        </w:tc>
        <w:tc>
          <w:tcPr>
            <w:tcW w:w="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2A2A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C65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DF86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9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3C0BA8">
            <w:pPr>
              <w:jc w:val="center"/>
              <w:rPr>
                <w:rFonts w:hint="eastAsia" w:ascii="宋体" w:hAnsi="宋体" w:cs="宋体"/>
                <w:color w:val="000000"/>
                <w:sz w:val="20"/>
                <w:szCs w:val="20"/>
              </w:rPr>
            </w:pPr>
          </w:p>
        </w:tc>
      </w:tr>
      <w:tr w14:paraId="70469361">
        <w:tblPrEx>
          <w:tblCellMar>
            <w:top w:w="0" w:type="dxa"/>
            <w:left w:w="108" w:type="dxa"/>
            <w:bottom w:w="0" w:type="dxa"/>
            <w:right w:w="108" w:type="dxa"/>
          </w:tblCellMar>
        </w:tblPrEx>
        <w:trPr>
          <w:trHeight w:val="400" w:hRule="atLeast"/>
          <w:jc w:val="center"/>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965F4">
            <w:pPr>
              <w:jc w:val="center"/>
              <w:rPr>
                <w:rFonts w:hint="eastAsia" w:ascii="宋体" w:hAnsi="宋体" w:cs="宋体"/>
                <w:color w:val="000000"/>
                <w:sz w:val="20"/>
                <w:szCs w:val="20"/>
              </w:rPr>
            </w:pPr>
          </w:p>
        </w:tc>
        <w:tc>
          <w:tcPr>
            <w:tcW w:w="3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E8FBDD">
            <w:pPr>
              <w:jc w:val="center"/>
              <w:rPr>
                <w:rFonts w:hint="eastAsia" w:ascii="宋体" w:hAnsi="宋体" w:cs="宋体"/>
                <w:color w:val="000000"/>
                <w:sz w:val="20"/>
                <w:szCs w:val="20"/>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1305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7619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非遗传承人群增长率</w:t>
            </w:r>
          </w:p>
        </w:tc>
        <w:tc>
          <w:tcPr>
            <w:tcW w:w="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C7A7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w:t>
            </w:r>
          </w:p>
        </w:tc>
        <w:tc>
          <w:tcPr>
            <w:tcW w:w="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6F4C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28B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4401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F39276">
            <w:pPr>
              <w:jc w:val="center"/>
              <w:rPr>
                <w:rFonts w:hint="eastAsia" w:ascii="宋体" w:hAnsi="宋体" w:cs="宋体"/>
                <w:color w:val="000000"/>
                <w:sz w:val="20"/>
                <w:szCs w:val="20"/>
              </w:rPr>
            </w:pPr>
          </w:p>
        </w:tc>
      </w:tr>
      <w:tr w14:paraId="4927FB7C">
        <w:tblPrEx>
          <w:tblCellMar>
            <w:top w:w="0" w:type="dxa"/>
            <w:left w:w="108" w:type="dxa"/>
            <w:bottom w:w="0" w:type="dxa"/>
            <w:right w:w="108" w:type="dxa"/>
          </w:tblCellMar>
        </w:tblPrEx>
        <w:trPr>
          <w:trHeight w:val="400" w:hRule="atLeast"/>
          <w:jc w:val="center"/>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0DA43">
            <w:pPr>
              <w:jc w:val="center"/>
              <w:rPr>
                <w:rFonts w:hint="eastAsia" w:ascii="宋体" w:hAnsi="宋体" w:cs="宋体"/>
                <w:color w:val="000000"/>
                <w:sz w:val="20"/>
                <w:szCs w:val="20"/>
              </w:rPr>
            </w:pPr>
          </w:p>
        </w:tc>
        <w:tc>
          <w:tcPr>
            <w:tcW w:w="3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21713">
            <w:pPr>
              <w:jc w:val="center"/>
              <w:rPr>
                <w:rFonts w:hint="eastAsia" w:ascii="宋体" w:hAnsi="宋体" w:cs="宋体"/>
                <w:color w:val="000000"/>
                <w:sz w:val="20"/>
                <w:szCs w:val="20"/>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0C32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6E3D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群众文艺团队扶持率</w:t>
            </w:r>
          </w:p>
        </w:tc>
        <w:tc>
          <w:tcPr>
            <w:tcW w:w="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5F1C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DBD8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C1F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2FBB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3DCE80">
            <w:pPr>
              <w:jc w:val="center"/>
              <w:rPr>
                <w:rFonts w:hint="eastAsia" w:ascii="宋体" w:hAnsi="宋体" w:cs="宋体"/>
                <w:color w:val="000000"/>
                <w:sz w:val="20"/>
                <w:szCs w:val="20"/>
              </w:rPr>
            </w:pPr>
          </w:p>
        </w:tc>
      </w:tr>
      <w:tr w14:paraId="2F2567D3">
        <w:tblPrEx>
          <w:tblCellMar>
            <w:top w:w="0" w:type="dxa"/>
            <w:left w:w="108" w:type="dxa"/>
            <w:bottom w:w="0" w:type="dxa"/>
            <w:right w:w="108" w:type="dxa"/>
          </w:tblCellMar>
        </w:tblPrEx>
        <w:trPr>
          <w:trHeight w:val="400" w:hRule="atLeast"/>
          <w:jc w:val="center"/>
        </w:trPr>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7AB36">
            <w:pPr>
              <w:jc w:val="center"/>
              <w:rPr>
                <w:rFonts w:hint="eastAsia" w:ascii="宋体" w:hAnsi="宋体" w:cs="宋体"/>
                <w:color w:val="000000"/>
                <w:sz w:val="20"/>
                <w:szCs w:val="20"/>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024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C687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24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9B46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基层群众对公共文化服务体系建设的满意度</w:t>
            </w:r>
          </w:p>
        </w:tc>
        <w:tc>
          <w:tcPr>
            <w:tcW w:w="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9BEC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C248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528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F5DD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2EA966">
            <w:pPr>
              <w:jc w:val="center"/>
              <w:rPr>
                <w:rFonts w:hint="eastAsia" w:ascii="宋体" w:hAnsi="宋体" w:cs="宋体"/>
                <w:color w:val="000000"/>
                <w:sz w:val="20"/>
                <w:szCs w:val="20"/>
              </w:rPr>
            </w:pPr>
          </w:p>
        </w:tc>
      </w:tr>
      <w:tr w14:paraId="0A95140E">
        <w:tblPrEx>
          <w:tblCellMar>
            <w:top w:w="0" w:type="dxa"/>
            <w:left w:w="108" w:type="dxa"/>
            <w:bottom w:w="0" w:type="dxa"/>
            <w:right w:w="108" w:type="dxa"/>
          </w:tblCellMar>
        </w:tblPrEx>
        <w:trPr>
          <w:trHeight w:val="288" w:hRule="atLeast"/>
          <w:jc w:val="center"/>
        </w:trPr>
        <w:tc>
          <w:tcPr>
            <w:tcW w:w="638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90CE5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247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3CB4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100分</w:t>
            </w:r>
          </w:p>
        </w:tc>
        <w:tc>
          <w:tcPr>
            <w:tcW w:w="9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DD51BA">
            <w:pPr>
              <w:jc w:val="center"/>
              <w:rPr>
                <w:rFonts w:hint="eastAsia" w:ascii="宋体" w:hAnsi="宋体" w:cs="宋体"/>
                <w:color w:val="000000"/>
                <w:sz w:val="20"/>
                <w:szCs w:val="20"/>
              </w:rPr>
            </w:pPr>
          </w:p>
        </w:tc>
      </w:tr>
    </w:tbl>
    <w:p w14:paraId="142F1B81">
      <w:pPr>
        <w:ind w:firstLine="640" w:firstLineChars="200"/>
        <w:jc w:val="left"/>
        <w:rPr>
          <w:rFonts w:hint="eastAsia" w:ascii="黑体" w:hAnsi="黑体" w:eastAsia="黑体" w:cs="宋体"/>
          <w:bCs/>
          <w:kern w:val="0"/>
          <w:sz w:val="32"/>
          <w:szCs w:val="32"/>
        </w:rPr>
      </w:pPr>
    </w:p>
    <w:p w14:paraId="6E3EE31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D9B41F8">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83ECC17">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C28781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7937C6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018F6F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38C6BF9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BAFD7B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3F48B7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796F5E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5635B3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FAEC90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2F6239E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65332A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0CACFD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F94342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3A1E68F">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516B160">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29F76E9">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0AA1839E">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7142F600">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30E44148">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3FA9348F">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59521DC7">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3E4D2E3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31F3B6EC">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6DBD50A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2CB029D">
      <w:pPr>
        <w:ind w:firstLine="640" w:firstLineChars="200"/>
        <w:rPr>
          <w:rFonts w:ascii="仿宋_GB2312" w:eastAsia="仿宋_GB2312"/>
          <w:sz w:val="32"/>
          <w:szCs w:val="32"/>
        </w:rPr>
      </w:pPr>
    </w:p>
    <w:p w14:paraId="112FF783">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942E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E925FD">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CE925FD">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5M2I0NWRhNDM2MWVkM2Q3YzY0OGU0YTRiMGUzYTAifQ=="/>
    <w:docVar w:name="KSO_WPS_MARK_KEY" w:val="41ee2a61-2d54-4f93-83be-afdb9a40d732"/>
  </w:docVars>
  <w:rsids>
    <w:rsidRoot w:val="00505377"/>
    <w:rsid w:val="00045C97"/>
    <w:rsid w:val="00200FEC"/>
    <w:rsid w:val="00213C59"/>
    <w:rsid w:val="00300B19"/>
    <w:rsid w:val="003210CE"/>
    <w:rsid w:val="00387C7A"/>
    <w:rsid w:val="004442B0"/>
    <w:rsid w:val="00505377"/>
    <w:rsid w:val="006C4F69"/>
    <w:rsid w:val="00757A33"/>
    <w:rsid w:val="00850B6E"/>
    <w:rsid w:val="009A2A2E"/>
    <w:rsid w:val="00A853D7"/>
    <w:rsid w:val="00B70D59"/>
    <w:rsid w:val="00BA521C"/>
    <w:rsid w:val="00E05A8F"/>
    <w:rsid w:val="00E46710"/>
    <w:rsid w:val="00F52A8D"/>
    <w:rsid w:val="00FB2DBF"/>
    <w:rsid w:val="00FE02F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8461C3"/>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0456EF"/>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4D3DED"/>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autoRedefine/>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6794</Words>
  <Characters>7689</Characters>
  <Lines>64</Lines>
  <Paragraphs>18</Paragraphs>
  <TotalTime>13</TotalTime>
  <ScaleCrop>false</ScaleCrop>
  <LinksUpToDate>false</LinksUpToDate>
  <CharactersWithSpaces>7699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2024-12-27T06:00:52Z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